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rPr>
      </w:pPr>
      <w:r>
        <w:rPr>
          <w:b/>
          <w:bCs/>
        </w:rPr>
        <w:t>Changing Strides Equine Therapies</w:t>
      </w:r>
    </w:p>
    <w:p>
      <w:pPr>
        <w:pStyle w:val="Normal"/>
        <w:bidi w:val="0"/>
        <w:jc w:val="center"/>
        <w:rPr>
          <w:b/>
          <w:bCs/>
        </w:rPr>
      </w:pPr>
      <w:r>
        <w:rPr>
          <w:b/>
          <w:bCs/>
        </w:rPr>
        <w:t xml:space="preserve">Special Education Needs and Disabilities </w:t>
      </w:r>
      <w:r>
        <w:rPr>
          <w:b/>
          <w:bCs/>
        </w:rPr>
        <w:t>SEND Policy</w:t>
      </w:r>
    </w:p>
    <w:p>
      <w:pPr>
        <w:pStyle w:val="Normal"/>
        <w:bidi w:val="0"/>
        <w:jc w:val="center"/>
        <w:rPr>
          <w:b/>
          <w:bCs/>
        </w:rPr>
      </w:pPr>
      <w:r>
        <w:rPr>
          <w:b/>
          <w:bCs/>
        </w:rPr>
      </w:r>
    </w:p>
    <w:p>
      <w:pPr>
        <w:pStyle w:val="Normal"/>
        <w:bidi w:val="0"/>
        <w:jc w:val="left"/>
        <w:rPr>
          <w:b/>
          <w:bCs/>
        </w:rPr>
      </w:pPr>
      <w:r>
        <w:rPr>
          <w:b/>
          <w:bCs/>
        </w:rPr>
      </w:r>
    </w:p>
    <w:p>
      <w:pPr>
        <w:pStyle w:val="Normal"/>
        <w:bidi w:val="0"/>
        <w:jc w:val="left"/>
        <w:rPr>
          <w:b/>
          <w:bCs/>
        </w:rPr>
      </w:pPr>
      <w:r>
        <w:rPr>
          <w:b/>
          <w:bCs/>
        </w:rPr>
        <w:t xml:space="preserve">1. Policy Statement </w:t>
      </w:r>
    </w:p>
    <w:p>
      <w:pPr>
        <w:pStyle w:val="Normal"/>
        <w:bidi w:val="0"/>
        <w:jc w:val="left"/>
        <w:rPr>
          <w:b/>
          <w:bCs/>
        </w:rPr>
      </w:pPr>
      <w:r>
        <w:rPr>
          <w:b/>
          <w:bCs/>
        </w:rPr>
      </w:r>
    </w:p>
    <w:p>
      <w:pPr>
        <w:pStyle w:val="Normal"/>
        <w:bidi w:val="0"/>
        <w:jc w:val="left"/>
        <w:rPr>
          <w:b w:val="false"/>
          <w:bCs w:val="false"/>
        </w:rPr>
      </w:pPr>
      <w:r>
        <w:rPr>
          <w:b w:val="false"/>
          <w:bCs w:val="false"/>
        </w:rPr>
        <w:t xml:space="preserve">Changing Strides Equine Therapies (CSET) is committed to providing inclusive, person-centred equine-assisted alternative provision and therapeutic experiences that enable children, young people and young adults aged </w:t>
      </w:r>
      <w:r>
        <w:rPr>
          <w:rStyle w:val="Strong"/>
        </w:rPr>
        <w:t>5–25 years</w:t>
      </w:r>
      <w:r>
        <w:rPr>
          <w:b w:val="false"/>
          <w:bCs w:val="false"/>
        </w:rPr>
        <w:t xml:space="preserve"> with Special Educational Needs and Disabilities (SEND) to participate safely, develop their strengths and achieve positive educational, personal and wellbeing outcomes.</w:t>
      </w:r>
    </w:p>
    <w:p>
      <w:pPr>
        <w:pStyle w:val="Normal"/>
        <w:bidi w:val="0"/>
        <w:jc w:val="left"/>
        <w:rPr>
          <w:b w:val="false"/>
          <w:bCs w:val="false"/>
        </w:rPr>
      </w:pPr>
      <w:r>
        <w:rPr>
          <w:b w:val="false"/>
          <w:bCs w:val="false"/>
        </w:rPr>
      </w:r>
    </w:p>
    <w:p>
      <w:pPr>
        <w:pStyle w:val="Normal"/>
        <w:bidi w:val="0"/>
        <w:jc w:val="left"/>
        <w:rPr>
          <w:b w:val="false"/>
          <w:bCs w:val="false"/>
        </w:rPr>
      </w:pPr>
      <w:r>
        <w:rPr>
          <w:b w:val="false"/>
          <w:bCs w:val="false"/>
        </w:rPr>
        <w:t>We recognise that every individual has unique strengths, aspirations and support needs. We work collaboratively with referring schools, local authorities, parents, carers and other professionals to provide appropriate support, make reasonable adjustments where appropriate, and contribute to agreed educational, therapeutic and personal development outcomes.</w:t>
      </w:r>
    </w:p>
    <w:p>
      <w:pPr>
        <w:pStyle w:val="Normal"/>
        <w:bidi w:val="0"/>
        <w:jc w:val="left"/>
        <w:rPr>
          <w:b w:val="false"/>
          <w:bCs w:val="false"/>
        </w:rPr>
      </w:pPr>
      <w:r>
        <w:rPr>
          <w:b w:val="false"/>
          <w:bCs w:val="false"/>
        </w:rPr>
      </w:r>
    </w:p>
    <w:p>
      <w:pPr>
        <w:pStyle w:val="Normal"/>
        <w:bidi w:val="0"/>
        <w:jc w:val="left"/>
        <w:rPr/>
      </w:pPr>
      <w:r>
        <w:rPr>
          <w:b w:val="false"/>
          <w:bCs w:val="false"/>
        </w:rPr>
        <w:t xml:space="preserve">This policy sets out how CSET supports participants with SEND in accordance with current legislation, statutory guidance and recognised good practice. It should be read alongside CSET's </w:t>
      </w:r>
      <w:r>
        <w:rPr/>
        <w:t>Safeguarding and Child Protection Policy, Equality, Diversity and Inclusion Policy, Behaviour Policy, Health and Safety Policy, Data Protection Policy, Complaints Policy, Risk Assessment Policy and Whistleblowing Policy.</w:t>
      </w:r>
    </w:p>
    <w:p>
      <w:pPr>
        <w:pStyle w:val="Normal"/>
        <w:bidi w:val="0"/>
        <w:jc w:val="left"/>
        <w:rPr>
          <w:b/>
          <w:bCs/>
        </w:rPr>
      </w:pPr>
      <w:r>
        <w:rPr>
          <w:b/>
          <w:bCs/>
        </w:rPr>
      </w:r>
    </w:p>
    <w:p>
      <w:pPr>
        <w:pStyle w:val="Normal"/>
        <w:bidi w:val="0"/>
        <w:jc w:val="left"/>
        <w:rPr>
          <w:b/>
          <w:bCs/>
        </w:rPr>
      </w:pPr>
      <w:r>
        <w:rPr>
          <w:b/>
          <w:bCs/>
        </w:rPr>
        <w:t xml:space="preserve">2. Purpose </w:t>
      </w:r>
    </w:p>
    <w:p>
      <w:pPr>
        <w:pStyle w:val="Normal"/>
        <w:bidi w:val="0"/>
        <w:jc w:val="left"/>
        <w:rPr>
          <w:b/>
          <w:bCs/>
        </w:rPr>
      </w:pPr>
      <w:r>
        <w:rPr>
          <w:b/>
          <w:bCs/>
        </w:rPr>
      </w:r>
    </w:p>
    <w:p>
      <w:pPr>
        <w:pStyle w:val="Normal"/>
        <w:bidi w:val="0"/>
        <w:jc w:val="left"/>
        <w:rPr>
          <w:b w:val="false"/>
          <w:bCs w:val="false"/>
        </w:rPr>
      </w:pPr>
      <w:r>
        <w:rPr>
          <w:b w:val="false"/>
          <w:bCs w:val="false"/>
        </w:rPr>
        <w:t>Th</w:t>
      </w:r>
      <w:r>
        <w:rPr>
          <w:b w:val="false"/>
          <w:bCs w:val="false"/>
        </w:rPr>
        <w:t>e</w:t>
      </w:r>
      <w:r>
        <w:rPr>
          <w:b w:val="false"/>
          <w:bCs w:val="false"/>
        </w:rPr>
        <w:t xml:space="preserve"> purpose of this policy is to:</w:t>
      </w:r>
    </w:p>
    <w:p>
      <w:pPr>
        <w:pStyle w:val="Normal"/>
        <w:bidi w:val="0"/>
        <w:jc w:val="left"/>
        <w:rPr>
          <w:b w:val="false"/>
          <w:bCs w:val="false"/>
        </w:rPr>
      </w:pPr>
      <w:r>
        <w:rPr>
          <w:b w:val="false"/>
          <w:bCs w:val="false"/>
        </w:rPr>
      </w:r>
    </w:p>
    <w:p>
      <w:pPr>
        <w:pStyle w:val="BodyText"/>
        <w:numPr>
          <w:ilvl w:val="0"/>
          <w:numId w:val="1"/>
        </w:numPr>
        <w:tabs>
          <w:tab w:val="clear" w:pos="709"/>
          <w:tab w:val="left" w:pos="720" w:leader="none"/>
        </w:tabs>
        <w:bidi w:val="0"/>
        <w:spacing w:lineRule="auto" w:line="240"/>
        <w:ind w:hanging="283" w:left="720"/>
        <w:jc w:val="left"/>
        <w:rPr>
          <w:b w:val="false"/>
          <w:bCs w:val="false"/>
          <w:strike w:val="false"/>
          <w:dstrike w:val="false"/>
        </w:rPr>
      </w:pPr>
      <w:r>
        <w:rPr>
          <w:b w:val="false"/>
          <w:bCs w:val="false"/>
          <w:strike w:val="false"/>
          <w:dstrike w:val="false"/>
        </w:rPr>
        <w:t xml:space="preserve">Ensure that Changing Strides Equine Therapies provides an inclusive, person-centred approach to supporting children, young people and young adults aged 5–25 years with Special Educational Needs and Disabilities (SEND). </w:t>
      </w:r>
    </w:p>
    <w:p>
      <w:pPr>
        <w:pStyle w:val="BodyText"/>
        <w:numPr>
          <w:ilvl w:val="0"/>
          <w:numId w:val="1"/>
        </w:numPr>
        <w:tabs>
          <w:tab w:val="clear" w:pos="709"/>
          <w:tab w:val="left" w:pos="720" w:leader="none"/>
        </w:tabs>
        <w:bidi w:val="0"/>
        <w:spacing w:lineRule="auto" w:line="240"/>
        <w:ind w:hanging="283" w:left="720"/>
        <w:jc w:val="left"/>
        <w:rPr>
          <w:strike w:val="false"/>
          <w:dstrike w:val="false"/>
        </w:rPr>
      </w:pPr>
      <w:r>
        <w:rPr>
          <w:strike w:val="false"/>
          <w:dstrike w:val="false"/>
        </w:rPr>
        <w:t xml:space="preserve">Promote equitable access to our equine-assisted alternative provision and therapeutic experiences through appropriate support and reasonable adjustments. </w:t>
      </w:r>
    </w:p>
    <w:p>
      <w:pPr>
        <w:pStyle w:val="BodyText"/>
        <w:numPr>
          <w:ilvl w:val="0"/>
          <w:numId w:val="1"/>
        </w:numPr>
        <w:tabs>
          <w:tab w:val="clear" w:pos="709"/>
          <w:tab w:val="left" w:pos="720" w:leader="none"/>
        </w:tabs>
        <w:bidi w:val="0"/>
        <w:spacing w:lineRule="auto" w:line="240" w:before="0" w:after="0"/>
        <w:ind w:hanging="283" w:left="720"/>
        <w:jc w:val="left"/>
        <w:rPr>
          <w:strike w:val="false"/>
          <w:dstrike w:val="false"/>
        </w:rPr>
      </w:pPr>
      <w:r>
        <w:rPr>
          <w:strike w:val="false"/>
          <w:dstrike w:val="false"/>
        </w:rPr>
        <w:t xml:space="preserve">Clarify CSET's role in working collaboratively with participants, parents and carers, schools, local authorities and other professionals to support positive educational, personal and wellbeing outcomes. </w:t>
      </w:r>
    </w:p>
    <w:p>
      <w:pPr>
        <w:pStyle w:val="BodyText"/>
        <w:numPr>
          <w:ilvl w:val="0"/>
          <w:numId w:val="2"/>
        </w:numPr>
        <w:tabs>
          <w:tab w:val="clear" w:pos="709"/>
          <w:tab w:val="left" w:pos="720" w:leader="none"/>
        </w:tabs>
        <w:bidi w:val="0"/>
        <w:spacing w:lineRule="auto" w:line="240" w:before="0" w:after="0"/>
        <w:ind w:hanging="283" w:left="720"/>
        <w:jc w:val="left"/>
        <w:rPr>
          <w:strike w:val="false"/>
          <w:dstrike w:val="false"/>
        </w:rPr>
      </w:pPr>
      <w:r>
        <w:rPr>
          <w:strike w:val="false"/>
          <w:dstrike w:val="false"/>
        </w:rPr>
        <w:t xml:space="preserve">Ensure that staff, volunteers and trustees understand their responsibilities in meeting the needs of participants with SEND. </w:t>
      </w:r>
    </w:p>
    <w:p>
      <w:pPr>
        <w:pStyle w:val="BodyText"/>
        <w:numPr>
          <w:ilvl w:val="0"/>
          <w:numId w:val="3"/>
        </w:numPr>
        <w:tabs>
          <w:tab w:val="clear" w:pos="709"/>
          <w:tab w:val="left" w:pos="720" w:leader="none"/>
        </w:tabs>
        <w:bidi w:val="0"/>
        <w:spacing w:lineRule="auto" w:line="240"/>
        <w:ind w:hanging="283" w:left="720"/>
        <w:jc w:val="left"/>
        <w:rPr>
          <w:strike w:val="false"/>
          <w:dstrike w:val="false"/>
        </w:rPr>
      </w:pPr>
      <w:r>
        <w:rPr>
          <w:strike w:val="false"/>
          <w:dstrike w:val="false"/>
        </w:rPr>
        <w:t xml:space="preserve">Demonstrate CSET's commitment to complying with relevant legislation, statutory guidance and recognised good practice. </w:t>
      </w:r>
    </w:p>
    <w:p>
      <w:pPr>
        <w:pStyle w:val="BodyText"/>
        <w:bidi w:val="0"/>
        <w:spacing w:lineRule="auto" w:line="240"/>
        <w:jc w:val="left"/>
        <w:rPr>
          <w:b/>
          <w:bCs/>
          <w:strike w:val="false"/>
          <w:dstrike w:val="false"/>
        </w:rPr>
      </w:pPr>
      <w:r>
        <w:rPr>
          <w:b/>
          <w:bCs/>
          <w:strike w:val="false"/>
          <w:dstrike w:val="false"/>
        </w:rPr>
        <w:t xml:space="preserve">3. Legal Framework </w:t>
      </w:r>
    </w:p>
    <w:p>
      <w:pPr>
        <w:pStyle w:val="BodyText"/>
        <w:bidi w:val="0"/>
        <w:spacing w:lineRule="auto" w:line="240"/>
        <w:jc w:val="left"/>
        <w:rPr/>
      </w:pPr>
      <w:r>
        <w:rPr>
          <w:b w:val="false"/>
          <w:bCs w:val="false"/>
          <w:strike w:val="false"/>
          <w:dstrike w:val="false"/>
        </w:rPr>
        <w:t>This policy has been developed with reference to current legislation, statutory guidance and recognised good practice, including but not limited to:</w:t>
      </w:r>
    </w:p>
    <w:p>
      <w:pPr>
        <w:pStyle w:val="BodyText"/>
        <w:numPr>
          <w:ilvl w:val="0"/>
          <w:numId w:val="4"/>
        </w:numPr>
        <w:tabs>
          <w:tab w:val="clear" w:pos="709"/>
          <w:tab w:val="left" w:pos="720" w:leader="none"/>
        </w:tabs>
        <w:bidi w:val="0"/>
        <w:spacing w:lineRule="auto" w:line="240" w:before="0" w:after="0"/>
        <w:ind w:hanging="283" w:left="720"/>
        <w:jc w:val="left"/>
        <w:rPr/>
      </w:pPr>
      <w:r>
        <w:rPr/>
        <w:t xml:space="preserve">Children and Families Act 2014 </w:t>
      </w:r>
    </w:p>
    <w:p>
      <w:pPr>
        <w:pStyle w:val="BodyText"/>
        <w:numPr>
          <w:ilvl w:val="0"/>
          <w:numId w:val="4"/>
        </w:numPr>
        <w:tabs>
          <w:tab w:val="clear" w:pos="709"/>
          <w:tab w:val="left" w:pos="720" w:leader="none"/>
        </w:tabs>
        <w:bidi w:val="0"/>
        <w:spacing w:lineRule="auto" w:line="240" w:before="0" w:after="0"/>
        <w:ind w:hanging="283" w:left="720"/>
        <w:jc w:val="left"/>
        <w:rPr/>
      </w:pPr>
      <w:r>
        <w:rPr/>
        <w:t xml:space="preserve">Special Educational Needs and Disability Code of Practice: 0–25 Years </w:t>
      </w:r>
    </w:p>
    <w:p>
      <w:pPr>
        <w:pStyle w:val="BodyText"/>
        <w:numPr>
          <w:ilvl w:val="0"/>
          <w:numId w:val="5"/>
        </w:numPr>
        <w:tabs>
          <w:tab w:val="clear" w:pos="709"/>
          <w:tab w:val="left" w:pos="720" w:leader="none"/>
        </w:tabs>
        <w:bidi w:val="0"/>
        <w:spacing w:lineRule="auto" w:line="240" w:before="0" w:after="0"/>
        <w:ind w:hanging="283" w:left="720"/>
        <w:jc w:val="left"/>
        <w:rPr/>
      </w:pPr>
      <w:r>
        <w:rPr/>
        <w:t xml:space="preserve">Equality Act 2010 </w:t>
      </w:r>
    </w:p>
    <w:p>
      <w:pPr>
        <w:pStyle w:val="BodyText"/>
        <w:numPr>
          <w:ilvl w:val="0"/>
          <w:numId w:val="6"/>
        </w:numPr>
        <w:tabs>
          <w:tab w:val="clear" w:pos="709"/>
          <w:tab w:val="left" w:pos="720" w:leader="none"/>
        </w:tabs>
        <w:bidi w:val="0"/>
        <w:spacing w:lineRule="auto" w:line="240" w:before="0" w:after="0"/>
        <w:ind w:hanging="283" w:left="720"/>
        <w:jc w:val="left"/>
        <w:rPr/>
      </w:pPr>
      <w:r>
        <w:rPr/>
        <w:t xml:space="preserve">Education Act 1996 (including Section 19) </w:t>
      </w:r>
    </w:p>
    <w:p>
      <w:pPr>
        <w:pStyle w:val="BodyText"/>
        <w:numPr>
          <w:ilvl w:val="0"/>
          <w:numId w:val="7"/>
        </w:numPr>
        <w:tabs>
          <w:tab w:val="clear" w:pos="709"/>
          <w:tab w:val="left" w:pos="720" w:leader="none"/>
        </w:tabs>
        <w:bidi w:val="0"/>
        <w:spacing w:lineRule="auto" w:line="240" w:before="0" w:after="0"/>
        <w:ind w:hanging="283" w:left="720"/>
        <w:jc w:val="left"/>
        <w:rPr/>
      </w:pPr>
      <w:r>
        <w:rPr/>
        <w:t xml:space="preserve">Education and Inspections Act 2006  </w:t>
      </w:r>
    </w:p>
    <w:p>
      <w:pPr>
        <w:pStyle w:val="BodyText"/>
        <w:numPr>
          <w:ilvl w:val="0"/>
          <w:numId w:val="8"/>
        </w:numPr>
        <w:tabs>
          <w:tab w:val="clear" w:pos="709"/>
          <w:tab w:val="left" w:pos="720" w:leader="none"/>
        </w:tabs>
        <w:bidi w:val="0"/>
        <w:spacing w:lineRule="auto" w:line="240" w:before="0" w:after="0"/>
        <w:ind w:hanging="283" w:left="720"/>
        <w:jc w:val="left"/>
        <w:rPr/>
      </w:pPr>
      <w:r>
        <w:rPr/>
        <w:t xml:space="preserve">Department for Education: </w:t>
      </w:r>
      <w:r>
        <w:rPr>
          <w:rStyle w:val="Emphasis"/>
        </w:rPr>
        <w:t>SEND and Alternative Provision Improvement Plan</w:t>
      </w:r>
      <w:r>
        <w:rPr/>
        <w:t xml:space="preserve"> </w:t>
      </w:r>
    </w:p>
    <w:p>
      <w:pPr>
        <w:pStyle w:val="BodyText"/>
        <w:numPr>
          <w:ilvl w:val="0"/>
          <w:numId w:val="9"/>
        </w:numPr>
        <w:tabs>
          <w:tab w:val="clear" w:pos="709"/>
          <w:tab w:val="left" w:pos="720" w:leader="none"/>
        </w:tabs>
        <w:bidi w:val="0"/>
        <w:spacing w:lineRule="auto" w:line="240"/>
        <w:ind w:hanging="283" w:left="720"/>
        <w:jc w:val="left"/>
        <w:rPr/>
      </w:pPr>
      <w:r>
        <w:rPr/>
        <w:t xml:space="preserve">Department for Education: </w:t>
      </w:r>
      <w:r>
        <w:rPr>
          <w:rStyle w:val="Emphasis"/>
        </w:rPr>
        <w:t>Alternative Provision Statutory Guidance</w:t>
      </w:r>
      <w:r>
        <w:rPr/>
        <w:t xml:space="preserve"> </w:t>
      </w:r>
    </w:p>
    <w:p>
      <w:pPr>
        <w:pStyle w:val="BodyText"/>
        <w:bidi w:val="0"/>
        <w:spacing w:lineRule="auto" w:line="240"/>
        <w:jc w:val="left"/>
        <w:rPr/>
      </w:pPr>
      <w:r>
        <w:rPr>
          <w:b/>
          <w:bCs/>
        </w:rPr>
        <w:t>4. Principles</w:t>
      </w:r>
      <w:r>
        <w:rPr/>
        <w:t xml:space="preserve"> </w:t>
      </w:r>
    </w:p>
    <w:p>
      <w:pPr>
        <w:pStyle w:val="BodyText"/>
        <w:bidi w:val="0"/>
        <w:spacing w:lineRule="auto" w:line="240"/>
        <w:jc w:val="left"/>
        <w:rPr/>
      </w:pPr>
      <w:r>
        <w:rPr/>
        <w:t>Changing Strides Equine Therapies is committed to the following principles when supporting participants with SEND:</w:t>
      </w:r>
    </w:p>
    <w:p>
      <w:pPr>
        <w:pStyle w:val="BodyText"/>
        <w:numPr>
          <w:ilvl w:val="0"/>
          <w:numId w:val="10"/>
        </w:numPr>
        <w:bidi w:val="0"/>
        <w:spacing w:lineRule="auto" w:line="240"/>
        <w:jc w:val="left"/>
        <w:rPr/>
      </w:pPr>
      <w:r>
        <w:rPr>
          <w:b/>
          <w:bCs/>
        </w:rPr>
        <w:t>Person-Centred Practic</w:t>
      </w:r>
      <w:r>
        <w:rPr/>
        <w:t xml:space="preserve">e: every participant is recognised as an individual with unique strengths, aspirations and support needs. </w:t>
      </w:r>
    </w:p>
    <w:p>
      <w:pPr>
        <w:pStyle w:val="BodyText"/>
        <w:numPr>
          <w:ilvl w:val="0"/>
          <w:numId w:val="10"/>
        </w:numPr>
        <w:bidi w:val="0"/>
        <w:spacing w:lineRule="auto" w:line="240"/>
        <w:jc w:val="left"/>
        <w:rPr/>
      </w:pPr>
      <w:r>
        <w:rPr>
          <w:b/>
          <w:bCs/>
        </w:rPr>
        <w:t>Early Identification and Responsive Support</w:t>
      </w:r>
      <w:r>
        <w:rPr/>
        <w:t>: we work with refer</w:t>
      </w:r>
      <w:r>
        <w:rPr/>
        <w:t>ring agencies</w:t>
      </w:r>
      <w:r>
        <w:rPr/>
        <w:t xml:space="preserve">, parents/carers and professionals to understand each participant needs and implement appropriate strategies that enable safe participation and positive outcomes. </w:t>
      </w:r>
    </w:p>
    <w:p>
      <w:pPr>
        <w:pStyle w:val="BodyText"/>
        <w:numPr>
          <w:ilvl w:val="0"/>
          <w:numId w:val="10"/>
        </w:numPr>
        <w:bidi w:val="0"/>
        <w:spacing w:lineRule="auto" w:line="240"/>
        <w:jc w:val="left"/>
        <w:rPr/>
      </w:pPr>
      <w:r>
        <w:rPr>
          <w:b/>
          <w:bCs/>
        </w:rPr>
        <w:t>Inclusion</w:t>
      </w:r>
      <w:r>
        <w:rPr/>
        <w:t xml:space="preserve">: We aim to remove barriers to engagement by adapting activities, communication and support wherever reasonably practicable to promote confidence building. </w:t>
      </w:r>
    </w:p>
    <w:p>
      <w:pPr>
        <w:pStyle w:val="BodyText"/>
        <w:numPr>
          <w:ilvl w:val="0"/>
          <w:numId w:val="10"/>
        </w:numPr>
        <w:bidi w:val="0"/>
        <w:spacing w:lineRule="auto" w:line="240"/>
        <w:jc w:val="left"/>
        <w:rPr/>
      </w:pPr>
      <w:r>
        <w:rPr>
          <w:b/>
          <w:bCs/>
        </w:rPr>
        <w:t>Partnership Working</w:t>
      </w:r>
      <w:r>
        <w:rPr/>
        <w:t>: Effective support relies on collaborative working with participants, families, schools, local authorities and other professionals to ensure consistency.</w:t>
      </w:r>
    </w:p>
    <w:p>
      <w:pPr>
        <w:pStyle w:val="BodyText"/>
        <w:numPr>
          <w:ilvl w:val="0"/>
          <w:numId w:val="10"/>
        </w:numPr>
        <w:bidi w:val="0"/>
        <w:spacing w:lineRule="auto" w:line="240"/>
        <w:jc w:val="left"/>
        <w:rPr/>
      </w:pPr>
      <w:r>
        <w:rPr>
          <w:b/>
          <w:bCs/>
        </w:rPr>
        <w:t>Aspirations</w:t>
      </w:r>
      <w:r>
        <w:rPr/>
        <w:t>: we promote independence, confidence, resilience and persona</w:t>
      </w:r>
      <w:r>
        <w:rPr/>
        <w:t>l</w:t>
      </w:r>
      <w:r>
        <w:rPr/>
        <w:t xml:space="preserve"> achievement, encouraging every participant to make meaningful progress towards their individual goals. </w:t>
      </w:r>
    </w:p>
    <w:p>
      <w:pPr>
        <w:pStyle w:val="BodyText"/>
        <w:numPr>
          <w:ilvl w:val="0"/>
          <w:numId w:val="10"/>
        </w:numPr>
        <w:bidi w:val="0"/>
        <w:spacing w:lineRule="auto" w:line="240"/>
        <w:jc w:val="left"/>
        <w:rPr/>
      </w:pPr>
      <w:r>
        <w:rPr>
          <w:b/>
          <w:bCs/>
        </w:rPr>
        <w:t>Continuous Review</w:t>
      </w:r>
      <w:r>
        <w:rPr/>
        <w:t xml:space="preserve">: Support strategies are regularly reviewed and adapted to ensure they remain appropriate, effective and responsive to any changes.  </w:t>
      </w:r>
    </w:p>
    <w:p>
      <w:pPr>
        <w:pStyle w:val="BodyText"/>
        <w:bidi w:val="0"/>
        <w:spacing w:lineRule="auto" w:line="240"/>
        <w:jc w:val="left"/>
        <w:rPr/>
      </w:pPr>
      <w:r>
        <w:rPr/>
      </w:r>
    </w:p>
    <w:p>
      <w:pPr>
        <w:pStyle w:val="Heading2"/>
        <w:bidi w:val="0"/>
        <w:spacing w:lineRule="auto" w:line="240"/>
        <w:jc w:val="left"/>
        <w:rPr>
          <w:sz w:val="24"/>
          <w:szCs w:val="24"/>
        </w:rPr>
      </w:pPr>
      <w:r>
        <w:rPr>
          <w:sz w:val="24"/>
          <w:szCs w:val="24"/>
        </w:rPr>
        <w:t>5. Definition of Special Educational Needs and Disabilities (SEND)</w:t>
      </w:r>
    </w:p>
    <w:p>
      <w:pPr>
        <w:pStyle w:val="BodyText"/>
        <w:bidi w:val="0"/>
        <w:spacing w:lineRule="auto" w:line="240"/>
        <w:jc w:val="left"/>
        <w:rPr/>
      </w:pPr>
      <w:r>
        <w:rPr>
          <w:sz w:val="24"/>
          <w:szCs w:val="24"/>
        </w:rPr>
        <w:t xml:space="preserve">In accordance with the </w:t>
      </w:r>
      <w:r>
        <w:rPr>
          <w:rStyle w:val="Strong"/>
          <w:sz w:val="24"/>
          <w:szCs w:val="24"/>
        </w:rPr>
        <w:t>Children and Families Act 2014</w:t>
      </w:r>
      <w:r>
        <w:rPr>
          <w:sz w:val="24"/>
          <w:szCs w:val="24"/>
        </w:rPr>
        <w:t xml:space="preserve"> and the </w:t>
      </w:r>
      <w:r>
        <w:rPr>
          <w:rStyle w:val="Strong"/>
          <w:sz w:val="24"/>
          <w:szCs w:val="24"/>
        </w:rPr>
        <w:t>Special Educational Needs and Disability Code of Practice: 0–25 Years</w:t>
      </w:r>
      <w:r>
        <w:rPr>
          <w:sz w:val="24"/>
          <w:szCs w:val="24"/>
        </w:rPr>
        <w:t>, a child or young person has Special Educational Needs (SEN) if they have a learning difficulty or disability which calls for special educational provision to be made for them.</w:t>
      </w:r>
    </w:p>
    <w:p>
      <w:pPr>
        <w:pStyle w:val="BodyText"/>
        <w:bidi w:val="0"/>
        <w:spacing w:lineRule="auto" w:line="240"/>
        <w:jc w:val="left"/>
        <w:rPr>
          <w:sz w:val="24"/>
          <w:szCs w:val="24"/>
        </w:rPr>
      </w:pPr>
      <w:r>
        <w:rPr>
          <w:sz w:val="24"/>
          <w:szCs w:val="24"/>
        </w:rPr>
        <w:t>A learning difficulty or disability is defined as one where a child or young person:</w:t>
      </w:r>
    </w:p>
    <w:p>
      <w:pPr>
        <w:pStyle w:val="BodyText"/>
        <w:numPr>
          <w:ilvl w:val="0"/>
          <w:numId w:val="11"/>
        </w:numPr>
        <w:tabs>
          <w:tab w:val="clear" w:pos="709"/>
          <w:tab w:val="left" w:pos="709" w:leader="none"/>
        </w:tabs>
        <w:bidi w:val="0"/>
        <w:spacing w:lineRule="auto" w:line="240" w:before="0" w:after="0"/>
        <w:ind w:hanging="283" w:left="709"/>
        <w:jc w:val="left"/>
        <w:rPr>
          <w:sz w:val="24"/>
          <w:szCs w:val="24"/>
        </w:rPr>
      </w:pPr>
      <w:r>
        <w:rPr>
          <w:sz w:val="24"/>
          <w:szCs w:val="24"/>
        </w:rPr>
        <w:t xml:space="preserve">has a significantly greater difficulty in learning than the majority of others of the same age; or </w:t>
      </w:r>
    </w:p>
    <w:p>
      <w:pPr>
        <w:pStyle w:val="BodyText"/>
        <w:numPr>
          <w:ilvl w:val="0"/>
          <w:numId w:val="11"/>
        </w:numPr>
        <w:tabs>
          <w:tab w:val="clear" w:pos="709"/>
          <w:tab w:val="left" w:pos="709" w:leader="none"/>
        </w:tabs>
        <w:bidi w:val="0"/>
        <w:spacing w:lineRule="auto" w:line="240"/>
        <w:ind w:hanging="283" w:left="709"/>
        <w:jc w:val="left"/>
        <w:rPr>
          <w:sz w:val="24"/>
          <w:szCs w:val="24"/>
        </w:rPr>
      </w:pPr>
      <w:r>
        <w:rPr>
          <w:sz w:val="24"/>
          <w:szCs w:val="24"/>
        </w:rPr>
        <w:t xml:space="preserve">has a disability which prevents or hinders them from making use of educational facilities generally provided for others of the same age. </w:t>
      </w:r>
    </w:p>
    <w:p>
      <w:pPr>
        <w:pStyle w:val="BodyText"/>
        <w:bidi w:val="0"/>
        <w:spacing w:lineRule="auto" w:line="240"/>
        <w:jc w:val="left"/>
        <w:rPr>
          <w:sz w:val="24"/>
          <w:szCs w:val="24"/>
        </w:rPr>
      </w:pPr>
      <w:r>
        <w:rPr>
          <w:sz w:val="24"/>
          <w:szCs w:val="24"/>
        </w:rPr>
        <w:t>The SEND Code of Practice identifies four broad areas of need:</w:t>
      </w:r>
    </w:p>
    <w:p>
      <w:pPr>
        <w:pStyle w:val="BodyText"/>
        <w:numPr>
          <w:ilvl w:val="0"/>
          <w:numId w:val="12"/>
        </w:numPr>
        <w:tabs>
          <w:tab w:val="clear" w:pos="709"/>
          <w:tab w:val="left" w:pos="709" w:leader="none"/>
        </w:tabs>
        <w:bidi w:val="0"/>
        <w:spacing w:lineRule="auto" w:line="240" w:before="0" w:after="0"/>
        <w:ind w:hanging="283" w:left="709"/>
        <w:jc w:val="left"/>
        <w:rPr/>
      </w:pPr>
      <w:r>
        <w:rPr>
          <w:rStyle w:val="Strong"/>
          <w:sz w:val="24"/>
          <w:szCs w:val="24"/>
        </w:rPr>
        <w:t>Communication and Interaction</w:t>
      </w:r>
      <w:r>
        <w:rPr>
          <w:sz w:val="24"/>
          <w:szCs w:val="24"/>
        </w:rPr>
        <w:t xml:space="preserve"> – including speech, language and communication needs and autism. </w:t>
      </w:r>
    </w:p>
    <w:p>
      <w:pPr>
        <w:pStyle w:val="BodyText"/>
        <w:numPr>
          <w:ilvl w:val="0"/>
          <w:numId w:val="12"/>
        </w:numPr>
        <w:tabs>
          <w:tab w:val="clear" w:pos="709"/>
          <w:tab w:val="left" w:pos="709" w:leader="none"/>
        </w:tabs>
        <w:bidi w:val="0"/>
        <w:spacing w:lineRule="auto" w:line="240" w:before="0" w:after="0"/>
        <w:ind w:hanging="283" w:left="709"/>
        <w:jc w:val="left"/>
        <w:rPr/>
      </w:pPr>
      <w:r>
        <w:rPr>
          <w:rStyle w:val="Strong"/>
          <w:sz w:val="24"/>
          <w:szCs w:val="24"/>
        </w:rPr>
        <w:t>Cognition and Learning</w:t>
      </w:r>
      <w:r>
        <w:rPr>
          <w:sz w:val="24"/>
          <w:szCs w:val="24"/>
        </w:rPr>
        <w:t xml:space="preserve"> – including specific learning difficulties, moderate learning difficulties and severe or profound learning difficulties. </w:t>
      </w:r>
    </w:p>
    <w:p>
      <w:pPr>
        <w:pStyle w:val="BodyText"/>
        <w:numPr>
          <w:ilvl w:val="0"/>
          <w:numId w:val="12"/>
        </w:numPr>
        <w:tabs>
          <w:tab w:val="clear" w:pos="709"/>
          <w:tab w:val="left" w:pos="709" w:leader="none"/>
        </w:tabs>
        <w:bidi w:val="0"/>
        <w:spacing w:lineRule="auto" w:line="240" w:before="0" w:after="0"/>
        <w:ind w:hanging="283" w:left="709"/>
        <w:jc w:val="left"/>
        <w:rPr/>
      </w:pPr>
      <w:r>
        <w:rPr>
          <w:rStyle w:val="Strong"/>
          <w:sz w:val="24"/>
          <w:szCs w:val="24"/>
        </w:rPr>
        <w:t>Social, Emotional and Mental Health (SEMH)</w:t>
      </w:r>
      <w:r>
        <w:rPr>
          <w:sz w:val="24"/>
          <w:szCs w:val="24"/>
        </w:rPr>
        <w:t xml:space="preserve"> – including difficulties that affect emotional regulation, relationships and behaviour. </w:t>
      </w:r>
    </w:p>
    <w:p>
      <w:pPr>
        <w:pStyle w:val="BodyText"/>
        <w:numPr>
          <w:ilvl w:val="0"/>
          <w:numId w:val="12"/>
        </w:numPr>
        <w:tabs>
          <w:tab w:val="clear" w:pos="709"/>
          <w:tab w:val="left" w:pos="709" w:leader="none"/>
        </w:tabs>
        <w:bidi w:val="0"/>
        <w:spacing w:lineRule="auto" w:line="240"/>
        <w:ind w:hanging="283" w:left="709"/>
        <w:jc w:val="left"/>
        <w:rPr/>
      </w:pPr>
      <w:r>
        <w:rPr>
          <w:rStyle w:val="Strong"/>
          <w:sz w:val="24"/>
          <w:szCs w:val="24"/>
        </w:rPr>
        <w:t>Sensory and/or Physical Needs</w:t>
      </w:r>
      <w:r>
        <w:rPr>
          <w:sz w:val="24"/>
          <w:szCs w:val="24"/>
        </w:rPr>
        <w:t xml:space="preserve"> – including visual impairment, hearing impairment, multi-sensory impairment and physical disabilities. </w:t>
      </w:r>
    </w:p>
    <w:p>
      <w:pPr>
        <w:pStyle w:val="BodyText"/>
        <w:bidi w:val="0"/>
        <w:spacing w:lineRule="auto" w:line="240"/>
        <w:jc w:val="left"/>
        <w:rPr>
          <w:sz w:val="24"/>
          <w:szCs w:val="24"/>
        </w:rPr>
      </w:pPr>
      <w:r>
        <w:rPr>
          <w:sz w:val="24"/>
          <w:szCs w:val="24"/>
        </w:rPr>
        <w:t>CSET recognises that many participants may present with needs across more than one area and that individual needs may change over time. We also recognise that some participants may have additional needs that do not meet the statutory definition of SEND but may nevertheless require adjustments or additional support to participate safely and effectively in our provision.</w:t>
      </w:r>
    </w:p>
    <w:p>
      <w:pPr>
        <w:pStyle w:val="BodyText"/>
        <w:bidi w:val="0"/>
        <w:spacing w:lineRule="auto" w:line="240"/>
        <w:jc w:val="left"/>
        <w:rPr>
          <w:sz w:val="24"/>
          <w:szCs w:val="24"/>
        </w:rPr>
      </w:pPr>
      <w:r>
        <w:rPr>
          <w:sz w:val="24"/>
          <w:szCs w:val="24"/>
        </w:rPr>
        <w:t>As an Alternative Provision and therapeutic provider, CSET does not diagnose SEND or determine eligibility for statutory support. We work collaboratively with referring schools, local authorities, parents, carers and other professionals to understand participants' needs, implement appropriate support strategies and contribute to agreed outcomes.</w:t>
      </w:r>
    </w:p>
    <w:p>
      <w:pPr>
        <w:pStyle w:val="BodyText"/>
        <w:bidi w:val="0"/>
        <w:spacing w:lineRule="auto" w:line="240"/>
        <w:jc w:val="left"/>
        <w:rPr>
          <w:sz w:val="24"/>
          <w:szCs w:val="24"/>
        </w:rPr>
      </w:pPr>
      <w:r>
        <w:rPr>
          <w:sz w:val="24"/>
          <w:szCs w:val="24"/>
        </w:rPr>
      </w:r>
    </w:p>
    <w:p>
      <w:pPr>
        <w:pStyle w:val="BodyText"/>
        <w:bidi w:val="0"/>
        <w:spacing w:lineRule="auto" w:line="240"/>
        <w:jc w:val="left"/>
        <w:rPr>
          <w:b/>
          <w:bCs/>
          <w:sz w:val="24"/>
          <w:szCs w:val="24"/>
        </w:rPr>
      </w:pPr>
      <w:r>
        <w:rPr>
          <w:b/>
          <w:bCs/>
          <w:sz w:val="24"/>
          <w:szCs w:val="24"/>
        </w:rPr>
        <w:t>6. Identifying Needs</w:t>
      </w:r>
    </w:p>
    <w:p>
      <w:pPr>
        <w:pStyle w:val="BodyText"/>
        <w:bidi w:val="0"/>
        <w:spacing w:lineRule="auto" w:line="240"/>
        <w:jc w:val="left"/>
        <w:rPr>
          <w:b w:val="false"/>
          <w:bCs w:val="false"/>
          <w:sz w:val="24"/>
          <w:szCs w:val="24"/>
        </w:rPr>
      </w:pPr>
      <w:r>
        <w:rPr>
          <w:b w:val="false"/>
          <w:bCs w:val="false"/>
          <w:sz w:val="24"/>
          <w:szCs w:val="24"/>
        </w:rPr>
        <w:t>Changing Strides Equine Therapies aims to develop a clear understanding of each participant's individual strengths, needs and support requirements before they begin attending our provision.</w:t>
      </w:r>
    </w:p>
    <w:p>
      <w:pPr>
        <w:pStyle w:val="BodyText"/>
        <w:bidi w:val="0"/>
        <w:spacing w:lineRule="auto" w:line="240"/>
        <w:jc w:val="left"/>
        <w:rPr>
          <w:b w:val="false"/>
          <w:bCs w:val="false"/>
          <w:sz w:val="24"/>
        </w:rPr>
      </w:pPr>
      <w:r>
        <w:rPr>
          <w:b w:val="false"/>
          <w:bCs w:val="false"/>
        </w:rPr>
        <w:t>Where available, this information may be gathered through:</w:t>
      </w:r>
    </w:p>
    <w:p>
      <w:pPr>
        <w:pStyle w:val="BodyText"/>
        <w:numPr>
          <w:ilvl w:val="0"/>
          <w:numId w:val="13"/>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referral information provided by schools, local authorities or other referring organisations; </w:t>
      </w:r>
    </w:p>
    <w:p>
      <w:pPr>
        <w:pStyle w:val="BodyText"/>
        <w:numPr>
          <w:ilvl w:val="0"/>
          <w:numId w:val="13"/>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Education, Health and Care Plans (EHCPs) and other relevant professional reports; </w:t>
      </w:r>
    </w:p>
    <w:p>
      <w:pPr>
        <w:pStyle w:val="BodyText"/>
        <w:numPr>
          <w:ilvl w:val="0"/>
          <w:numId w:val="13"/>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individual risk assessments; </w:t>
      </w:r>
    </w:p>
    <w:p>
      <w:pPr>
        <w:pStyle w:val="BodyText"/>
        <w:numPr>
          <w:ilvl w:val="0"/>
          <w:numId w:val="13"/>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information shared by the participant's current or previous educational setting; </w:t>
      </w:r>
    </w:p>
    <w:p>
      <w:pPr>
        <w:pStyle w:val="BodyText"/>
        <w:numPr>
          <w:ilvl w:val="0"/>
          <w:numId w:val="13"/>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discussions with parents, carers and, where appropriate, the participant; and </w:t>
      </w:r>
    </w:p>
    <w:p>
      <w:pPr>
        <w:pStyle w:val="BodyText"/>
        <w:numPr>
          <w:ilvl w:val="0"/>
          <w:numId w:val="13"/>
        </w:numPr>
        <w:tabs>
          <w:tab w:val="clear" w:pos="709"/>
          <w:tab w:val="left" w:pos="709" w:leader="none"/>
        </w:tabs>
        <w:bidi w:val="0"/>
        <w:spacing w:lineRule="auto" w:line="240"/>
        <w:ind w:hanging="283" w:left="709"/>
        <w:jc w:val="left"/>
        <w:rPr>
          <w:b w:val="false"/>
          <w:bCs w:val="false"/>
          <w:sz w:val="24"/>
        </w:rPr>
      </w:pPr>
      <w:r>
        <w:rPr>
          <w:b w:val="false"/>
          <w:bCs w:val="false"/>
        </w:rPr>
        <w:t xml:space="preserve">observations during initial sessions and ongoing participation. </w:t>
      </w:r>
    </w:p>
    <w:p>
      <w:pPr>
        <w:pStyle w:val="BodyText"/>
        <w:bidi w:val="0"/>
        <w:spacing w:lineRule="auto" w:line="240"/>
        <w:jc w:val="left"/>
        <w:rPr>
          <w:b w:val="false"/>
          <w:bCs w:val="false"/>
          <w:sz w:val="24"/>
        </w:rPr>
      </w:pPr>
      <w:r>
        <w:rPr>
          <w:b w:val="false"/>
          <w:bCs w:val="false"/>
        </w:rPr>
        <w:t>This information enables CSET to plan appropriate support, make reasonable adjustments where required and promote safe, meaningful participation in our equine-assisted alternative provision and therapeutic experiences.</w:t>
      </w:r>
    </w:p>
    <w:p>
      <w:pPr>
        <w:pStyle w:val="BodyText"/>
        <w:bidi w:val="0"/>
        <w:spacing w:lineRule="auto" w:line="240"/>
        <w:jc w:val="left"/>
        <w:rPr>
          <w:b w:val="false"/>
          <w:bCs w:val="false"/>
          <w:sz w:val="24"/>
        </w:rPr>
      </w:pPr>
      <w:r>
        <w:rPr>
          <w:b w:val="false"/>
          <w:bCs w:val="false"/>
        </w:rPr>
        <w:t>CSET does not assess or diagnose Special Educational Needs and Disabilities (SEND), nor do we determine eligibility for statutory SEND support. Where staff identify additional needs or barriers to learning, participation or wellbeing that have not previously been recognised, these concerns will be discussed with the participant (where appropriate), parents or carers, and the referring school or local authority so that appropriate consideration and support can be explored.</w:t>
      </w:r>
    </w:p>
    <w:p>
      <w:pPr>
        <w:pStyle w:val="BodyText"/>
        <w:bidi w:val="0"/>
        <w:spacing w:lineRule="auto" w:line="240"/>
        <w:jc w:val="left"/>
        <w:rPr>
          <w:b w:val="false"/>
          <w:bCs w:val="false"/>
          <w:sz w:val="24"/>
        </w:rPr>
      </w:pPr>
      <w:r>
        <w:rPr>
          <w:b w:val="false"/>
          <w:bCs w:val="false"/>
        </w:rPr>
        <w:t>CSET follows the graduated approach outlined in the SEND Code of Practice (</w:t>
      </w:r>
      <w:r>
        <w:rPr>
          <w:rStyle w:val="Strong"/>
        </w:rPr>
        <w:t>Assess – Plan – Do – Review</w:t>
      </w:r>
      <w:r>
        <w:rPr>
          <w:b w:val="false"/>
          <w:bCs w:val="false"/>
        </w:rPr>
        <w:t>) to ensure support remains responsive to each participant's individual needs. Information gathered before and during placement is used to plan appropriate support, implement reasonable adjustments within our equine-assisted provision, and regularly review progress with participants, parents or carers, and referring organisations.</w:t>
      </w:r>
    </w:p>
    <w:p>
      <w:pPr>
        <w:pStyle w:val="BodyText"/>
        <w:bidi w:val="0"/>
        <w:spacing w:lineRule="auto" w:line="240"/>
        <w:jc w:val="left"/>
        <w:rPr>
          <w:b w:val="false"/>
          <w:bCs w:val="false"/>
          <w:sz w:val="24"/>
        </w:rPr>
      </w:pPr>
      <w:r>
        <w:rPr>
          <w:b w:val="false"/>
          <w:bCs w:val="false"/>
        </w:rPr>
      </w:r>
    </w:p>
    <w:p>
      <w:pPr>
        <w:pStyle w:val="BodyText"/>
        <w:bidi w:val="0"/>
        <w:spacing w:lineRule="auto" w:line="240"/>
        <w:jc w:val="left"/>
        <w:rPr>
          <w:b w:val="false"/>
          <w:bCs w:val="false"/>
          <w:sz w:val="24"/>
        </w:rPr>
      </w:pPr>
      <w:r>
        <w:rPr>
          <w:b/>
          <w:bCs/>
        </w:rPr>
        <w:t>7. SEND Provision</w:t>
      </w:r>
      <w:r>
        <w:rPr>
          <w:b w:val="false"/>
          <w:bCs w:val="false"/>
        </w:rPr>
        <w:t xml:space="preserve"> </w:t>
      </w:r>
    </w:p>
    <w:p>
      <w:pPr>
        <w:pStyle w:val="BodyText"/>
        <w:bidi w:val="0"/>
        <w:spacing w:lineRule="auto" w:line="240"/>
        <w:jc w:val="left"/>
        <w:rPr>
          <w:b w:val="false"/>
          <w:bCs w:val="false"/>
          <w:sz w:val="24"/>
        </w:rPr>
      </w:pPr>
      <w:r>
        <w:rPr>
          <w:b w:val="false"/>
          <w:bCs w:val="false"/>
        </w:rPr>
        <w:t>Changing Strides Equine Therapies provides person-centred support that enables participants with SEND to access and benefit from our equine-assisted alternative provision and therapeutic experiences.</w:t>
      </w:r>
    </w:p>
    <w:p>
      <w:pPr>
        <w:pStyle w:val="BodyText"/>
        <w:bidi w:val="0"/>
        <w:spacing w:lineRule="auto" w:line="240"/>
        <w:jc w:val="left"/>
        <w:rPr>
          <w:sz w:val="24"/>
        </w:rPr>
      </w:pPr>
      <w:r>
        <w:rPr/>
        <w:t>Support may include:</w:t>
      </w:r>
    </w:p>
    <w:p>
      <w:pPr>
        <w:pStyle w:val="BodyText"/>
        <w:numPr>
          <w:ilvl w:val="0"/>
          <w:numId w:val="14"/>
        </w:numPr>
        <w:tabs>
          <w:tab w:val="clear" w:pos="709"/>
          <w:tab w:val="left" w:pos="709" w:leader="none"/>
        </w:tabs>
        <w:bidi w:val="0"/>
        <w:spacing w:lineRule="auto" w:line="240" w:before="0" w:after="0"/>
        <w:ind w:hanging="283" w:left="709"/>
        <w:jc w:val="left"/>
        <w:rPr>
          <w:sz w:val="24"/>
        </w:rPr>
      </w:pPr>
      <w:r>
        <w:rPr/>
        <w:t xml:space="preserve">adapting activities to meet individual needs and abilities; </w:t>
      </w:r>
    </w:p>
    <w:p>
      <w:pPr>
        <w:pStyle w:val="BodyText"/>
        <w:numPr>
          <w:ilvl w:val="0"/>
          <w:numId w:val="14"/>
        </w:numPr>
        <w:tabs>
          <w:tab w:val="clear" w:pos="709"/>
          <w:tab w:val="left" w:pos="709" w:leader="none"/>
        </w:tabs>
        <w:bidi w:val="0"/>
        <w:spacing w:lineRule="auto" w:line="240" w:before="0" w:after="0"/>
        <w:ind w:hanging="283" w:left="709"/>
        <w:jc w:val="left"/>
        <w:rPr>
          <w:sz w:val="24"/>
        </w:rPr>
      </w:pPr>
      <w:r>
        <w:rPr/>
        <w:t xml:space="preserve">making reasonable adjustments to the environment, communication and session delivery; </w:t>
      </w:r>
    </w:p>
    <w:p>
      <w:pPr>
        <w:pStyle w:val="BodyText"/>
        <w:numPr>
          <w:ilvl w:val="0"/>
          <w:numId w:val="14"/>
        </w:numPr>
        <w:tabs>
          <w:tab w:val="clear" w:pos="709"/>
          <w:tab w:val="left" w:pos="709" w:leader="none"/>
        </w:tabs>
        <w:bidi w:val="0"/>
        <w:spacing w:lineRule="auto" w:line="240" w:before="0" w:after="0"/>
        <w:ind w:hanging="283" w:left="709"/>
        <w:jc w:val="left"/>
        <w:rPr>
          <w:sz w:val="24"/>
        </w:rPr>
      </w:pPr>
      <w:r>
        <w:rPr/>
        <w:t xml:space="preserve">providing clear routines, structure and expectations; </w:t>
      </w:r>
    </w:p>
    <w:p>
      <w:pPr>
        <w:pStyle w:val="BodyText"/>
        <w:numPr>
          <w:ilvl w:val="0"/>
          <w:numId w:val="14"/>
        </w:numPr>
        <w:tabs>
          <w:tab w:val="clear" w:pos="709"/>
          <w:tab w:val="left" w:pos="709" w:leader="none"/>
        </w:tabs>
        <w:bidi w:val="0"/>
        <w:spacing w:lineRule="auto" w:line="240" w:before="0" w:after="0"/>
        <w:ind w:hanging="283" w:left="709"/>
        <w:jc w:val="left"/>
        <w:rPr>
          <w:sz w:val="24"/>
        </w:rPr>
      </w:pPr>
      <w:r>
        <w:rPr/>
        <w:t xml:space="preserve">using strategies that promote emotional regulation, confidence and engagement; </w:t>
      </w:r>
    </w:p>
    <w:p>
      <w:pPr>
        <w:pStyle w:val="BodyText"/>
        <w:numPr>
          <w:ilvl w:val="0"/>
          <w:numId w:val="14"/>
        </w:numPr>
        <w:tabs>
          <w:tab w:val="clear" w:pos="709"/>
          <w:tab w:val="left" w:pos="709" w:leader="none"/>
        </w:tabs>
        <w:bidi w:val="0"/>
        <w:spacing w:lineRule="auto" w:line="240" w:before="0" w:after="0"/>
        <w:ind w:hanging="283" w:left="709"/>
        <w:jc w:val="left"/>
        <w:rPr>
          <w:sz w:val="24"/>
        </w:rPr>
      </w:pPr>
      <w:r>
        <w:rPr/>
        <w:t xml:space="preserve">working at a pace appropriate to the participant; </w:t>
      </w:r>
      <w:r>
        <w:rPr/>
        <w:t>and</w:t>
      </w:r>
    </w:p>
    <w:p>
      <w:pPr>
        <w:pStyle w:val="BodyText"/>
        <w:numPr>
          <w:ilvl w:val="0"/>
          <w:numId w:val="14"/>
        </w:numPr>
        <w:tabs>
          <w:tab w:val="clear" w:pos="709"/>
          <w:tab w:val="left" w:pos="709" w:leader="none"/>
        </w:tabs>
        <w:bidi w:val="0"/>
        <w:spacing w:lineRule="auto" w:line="240" w:before="0" w:after="0"/>
        <w:ind w:hanging="283" w:left="709"/>
        <w:jc w:val="left"/>
        <w:rPr>
          <w:sz w:val="24"/>
        </w:rPr>
      </w:pPr>
      <w:r>
        <w:rPr/>
        <w:t xml:space="preserve">providing additional support where required to promote safety and participation; </w:t>
      </w:r>
    </w:p>
    <w:p>
      <w:pPr>
        <w:pStyle w:val="BodyText"/>
        <w:numPr>
          <w:ilvl w:val="0"/>
          <w:numId w:val="0"/>
        </w:numPr>
        <w:bidi w:val="0"/>
        <w:spacing w:lineRule="auto" w:line="240"/>
        <w:ind w:hanging="0" w:left="0"/>
        <w:jc w:val="left"/>
        <w:rPr>
          <w:sz w:val="24"/>
        </w:rPr>
      </w:pPr>
      <w:r>
        <w:rPr/>
      </w:r>
    </w:p>
    <w:p>
      <w:pPr>
        <w:pStyle w:val="BodyText"/>
        <w:bidi w:val="0"/>
        <w:spacing w:lineRule="auto" w:line="240"/>
        <w:jc w:val="left"/>
        <w:rPr>
          <w:sz w:val="24"/>
        </w:rPr>
      </w:pPr>
      <w:r>
        <w:rPr/>
        <w:t>The level and type of support provided will depend on the participant's individual needs, agreed outcomes and any recommendations from referring professionals.</w:t>
      </w:r>
    </w:p>
    <w:p>
      <w:pPr>
        <w:pStyle w:val="BodyText"/>
        <w:bidi w:val="0"/>
        <w:spacing w:lineRule="auto" w:line="240"/>
        <w:jc w:val="left"/>
        <w:rPr>
          <w:sz w:val="24"/>
        </w:rPr>
      </w:pPr>
      <w:r>
        <w:rPr/>
        <w:t xml:space="preserve">CSET regularly reviews the effectiveness of the support provided and </w:t>
      </w:r>
      <w:r>
        <w:rPr/>
        <w:t>adapts support</w:t>
      </w:r>
      <w:r>
        <w:rPr/>
        <w:t xml:space="preserve"> where appropriate to ensure participants continue to access our provision safely and achieve positive outcomes.</w:t>
      </w:r>
    </w:p>
    <w:p>
      <w:pPr>
        <w:pStyle w:val="BodyText"/>
        <w:bidi w:val="0"/>
        <w:spacing w:lineRule="auto" w:line="240"/>
        <w:jc w:val="left"/>
        <w:rPr>
          <w:sz w:val="24"/>
        </w:rPr>
      </w:pPr>
      <w:r>
        <w:rPr/>
        <w:t>R</w:t>
      </w:r>
      <w:r>
        <w:rPr/>
        <w:t xml:space="preserve">easonable adjustments </w:t>
      </w:r>
      <w:r>
        <w:rPr/>
        <w:t xml:space="preserve">will be made </w:t>
      </w:r>
      <w:r>
        <w:rPr/>
        <w:t>where appropriate, in accordance with the Equality Act 2010 and our Equality, Diversity and Inclusion Policy.</w:t>
      </w:r>
    </w:p>
    <w:p>
      <w:pPr>
        <w:pStyle w:val="BodyText"/>
        <w:bidi w:val="0"/>
        <w:spacing w:lineRule="auto" w:line="240"/>
        <w:jc w:val="left"/>
        <w:rPr>
          <w:b/>
          <w:bCs/>
          <w:sz w:val="24"/>
        </w:rPr>
      </w:pPr>
      <w:r>
        <w:rPr>
          <w:b/>
          <w:bCs/>
        </w:rPr>
        <w:t>8</w:t>
      </w:r>
      <w:r>
        <w:rPr>
          <w:b/>
          <w:bCs/>
        </w:rPr>
        <w:t>. Education, Health and Care Plans (EHCPs)</w:t>
      </w:r>
    </w:p>
    <w:p>
      <w:pPr>
        <w:pStyle w:val="BodyText"/>
        <w:bidi w:val="0"/>
        <w:spacing w:lineRule="auto" w:line="240"/>
        <w:jc w:val="left"/>
        <w:rPr>
          <w:b w:val="false"/>
          <w:bCs w:val="false"/>
          <w:sz w:val="24"/>
        </w:rPr>
      </w:pPr>
      <w:r>
        <w:rPr>
          <w:b w:val="false"/>
          <w:bCs w:val="false"/>
        </w:rPr>
        <w:t xml:space="preserve">Where a participant has an Education, Health and Care Plan (EHCP), CSET works with the referring school, local authority, parents or carers, and other professionals to support the agreed </w:t>
      </w:r>
      <w:r>
        <w:rPr>
          <w:b w:val="false"/>
          <w:bCs w:val="false"/>
        </w:rPr>
        <w:t>outcomes within the scope of our provision.</w:t>
      </w:r>
    </w:p>
    <w:p>
      <w:pPr>
        <w:pStyle w:val="BodyText"/>
        <w:bidi w:val="0"/>
        <w:spacing w:lineRule="auto" w:line="240"/>
        <w:jc w:val="left"/>
        <w:rPr>
          <w:b w:val="false"/>
          <w:bCs w:val="false"/>
          <w:sz w:val="24"/>
        </w:rPr>
      </w:pPr>
      <w:r>
        <w:rPr>
          <w:b w:val="false"/>
          <w:bCs w:val="false"/>
        </w:rPr>
        <w:t>CSET may:</w:t>
      </w:r>
    </w:p>
    <w:p>
      <w:pPr>
        <w:pStyle w:val="BodyText"/>
        <w:numPr>
          <w:ilvl w:val="0"/>
          <w:numId w:val="15"/>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contribute to EHCP annual reviews when requested; </w:t>
      </w:r>
    </w:p>
    <w:p>
      <w:pPr>
        <w:pStyle w:val="BodyText"/>
        <w:numPr>
          <w:ilvl w:val="0"/>
          <w:numId w:val="15"/>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work towards agreed EHCP outcomes through our provision; </w:t>
      </w:r>
    </w:p>
    <w:p>
      <w:pPr>
        <w:pStyle w:val="BodyText"/>
        <w:numPr>
          <w:ilvl w:val="0"/>
          <w:numId w:val="15"/>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use Individual Learning Plans (ILPs) to plan, monitor and review progress; </w:t>
      </w:r>
    </w:p>
    <w:p>
      <w:pPr>
        <w:pStyle w:val="BodyText"/>
        <w:numPr>
          <w:ilvl w:val="0"/>
          <w:numId w:val="15"/>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provide progress reports to referring organisations; and </w:t>
      </w:r>
    </w:p>
    <w:p>
      <w:pPr>
        <w:pStyle w:val="BodyText"/>
        <w:numPr>
          <w:ilvl w:val="0"/>
          <w:numId w:val="15"/>
        </w:numPr>
        <w:tabs>
          <w:tab w:val="clear" w:pos="709"/>
          <w:tab w:val="left" w:pos="709" w:leader="none"/>
        </w:tabs>
        <w:bidi w:val="0"/>
        <w:spacing w:lineRule="auto" w:line="240"/>
        <w:ind w:hanging="283" w:left="709"/>
        <w:jc w:val="left"/>
        <w:rPr>
          <w:b w:val="false"/>
          <w:bCs w:val="false"/>
          <w:sz w:val="24"/>
        </w:rPr>
      </w:pPr>
      <w:r>
        <w:rPr>
          <w:b w:val="false"/>
          <w:bCs w:val="false"/>
        </w:rPr>
        <w:t>attend review or multi-agency meetings where requested.</w:t>
      </w:r>
    </w:p>
    <w:p>
      <w:pPr>
        <w:pStyle w:val="BodyText"/>
        <w:bidi w:val="0"/>
        <w:spacing w:lineRule="auto" w:line="240"/>
        <w:jc w:val="left"/>
        <w:rPr>
          <w:b w:val="false"/>
          <w:bCs w:val="false"/>
          <w:sz w:val="24"/>
        </w:rPr>
      </w:pPr>
      <w:r>
        <w:rPr>
          <w:b/>
          <w:bCs/>
        </w:rPr>
        <w:t>9</w:t>
      </w:r>
      <w:r>
        <w:rPr>
          <w:b/>
          <w:bCs/>
        </w:rPr>
        <w:t>. Roles and Responsibilities</w:t>
      </w:r>
      <w:r>
        <w:rPr>
          <w:b w:val="false"/>
          <w:bCs w:val="false"/>
        </w:rPr>
        <w:t xml:space="preserve"> </w:t>
      </w:r>
    </w:p>
    <w:p>
      <w:pPr>
        <w:pStyle w:val="BodyText"/>
        <w:bidi w:val="0"/>
        <w:spacing w:lineRule="auto" w:line="240"/>
        <w:jc w:val="left"/>
        <w:rPr>
          <w:b w:val="false"/>
          <w:bCs w:val="false"/>
          <w:sz w:val="24"/>
        </w:rPr>
      </w:pPr>
      <w:r>
        <w:rPr>
          <w:b w:val="false"/>
          <w:bCs w:val="false"/>
        </w:rPr>
        <w:t>The Programme Lead is responsible for:</w:t>
      </w:r>
    </w:p>
    <w:p>
      <w:pPr>
        <w:pStyle w:val="BodyText"/>
        <w:numPr>
          <w:ilvl w:val="0"/>
          <w:numId w:val="16"/>
        </w:numPr>
        <w:bidi w:val="0"/>
        <w:spacing w:lineRule="auto" w:line="240"/>
        <w:jc w:val="left"/>
        <w:rPr>
          <w:b w:val="false"/>
          <w:bCs w:val="false"/>
          <w:sz w:val="24"/>
        </w:rPr>
      </w:pPr>
      <w:r>
        <w:rPr>
          <w:b w:val="false"/>
          <w:bCs w:val="false"/>
        </w:rPr>
        <w:t>implementing this policy;</w:t>
      </w:r>
    </w:p>
    <w:p>
      <w:pPr>
        <w:pStyle w:val="BodyText"/>
        <w:numPr>
          <w:ilvl w:val="0"/>
          <w:numId w:val="16"/>
        </w:numPr>
        <w:bidi w:val="0"/>
        <w:spacing w:lineRule="auto" w:line="240"/>
        <w:jc w:val="left"/>
        <w:rPr>
          <w:b w:val="false"/>
          <w:bCs w:val="false"/>
          <w:sz w:val="24"/>
        </w:rPr>
      </w:pPr>
      <w:r>
        <w:rPr>
          <w:b w:val="false"/>
          <w:bCs w:val="false"/>
        </w:rPr>
        <w:t>ensuring appropriate support and reasonable adjustments are in place where practicable;</w:t>
      </w:r>
    </w:p>
    <w:p>
      <w:pPr>
        <w:pStyle w:val="BodyText"/>
        <w:numPr>
          <w:ilvl w:val="0"/>
          <w:numId w:val="16"/>
        </w:numPr>
        <w:bidi w:val="0"/>
        <w:spacing w:lineRule="auto" w:line="240"/>
        <w:jc w:val="left"/>
        <w:rPr>
          <w:b w:val="false"/>
          <w:bCs w:val="false"/>
          <w:sz w:val="24"/>
        </w:rPr>
      </w:pPr>
      <w:r>
        <w:rPr>
          <w:b w:val="false"/>
          <w:bCs w:val="false"/>
        </w:rPr>
        <w:t xml:space="preserve">liaising with </w:t>
      </w:r>
      <w:r>
        <w:rPr>
          <w:b w:val="false"/>
          <w:bCs w:val="false"/>
        </w:rPr>
        <w:t>referring organisations</w:t>
      </w:r>
      <w:r>
        <w:rPr>
          <w:b w:val="false"/>
          <w:bCs w:val="false"/>
        </w:rPr>
        <w:t>, schools, local authorities, and professionals.</w:t>
      </w:r>
    </w:p>
    <w:p>
      <w:pPr>
        <w:pStyle w:val="BodyText"/>
        <w:numPr>
          <w:ilvl w:val="0"/>
          <w:numId w:val="16"/>
        </w:numPr>
        <w:bidi w:val="0"/>
        <w:spacing w:lineRule="auto" w:line="240"/>
        <w:jc w:val="left"/>
        <w:rPr>
          <w:b w:val="false"/>
          <w:bCs w:val="false"/>
          <w:sz w:val="24"/>
        </w:rPr>
      </w:pPr>
      <w:r>
        <w:rPr>
          <w:b w:val="false"/>
          <w:bCs w:val="false"/>
        </w:rPr>
        <w:t>e</w:t>
      </w:r>
      <w:r>
        <w:rPr>
          <w:b w:val="false"/>
          <w:bCs w:val="false"/>
        </w:rPr>
        <w:t xml:space="preserve">nsuring staff and volunteers receive appropriate guidance and training. </w:t>
      </w:r>
    </w:p>
    <w:p>
      <w:pPr>
        <w:pStyle w:val="BodyText"/>
        <w:bidi w:val="0"/>
        <w:spacing w:lineRule="auto" w:line="240"/>
        <w:jc w:val="left"/>
        <w:rPr>
          <w:b w:val="false"/>
          <w:bCs w:val="false"/>
          <w:sz w:val="24"/>
        </w:rPr>
      </w:pPr>
      <w:r>
        <w:rPr>
          <w:b w:val="false"/>
          <w:bCs w:val="false"/>
        </w:rPr>
        <w:t>Staff and volunteers will:</w:t>
      </w:r>
    </w:p>
    <w:p>
      <w:pPr>
        <w:pStyle w:val="BodyText"/>
        <w:numPr>
          <w:ilvl w:val="0"/>
          <w:numId w:val="17"/>
        </w:numPr>
        <w:bidi w:val="0"/>
        <w:spacing w:lineRule="auto" w:line="240"/>
        <w:jc w:val="left"/>
        <w:rPr>
          <w:b w:val="false"/>
          <w:bCs w:val="false"/>
          <w:sz w:val="24"/>
        </w:rPr>
      </w:pPr>
      <w:r>
        <w:rPr>
          <w:b w:val="false"/>
          <w:bCs w:val="false"/>
        </w:rPr>
        <w:t>b</w:t>
      </w:r>
      <w:r>
        <w:rPr>
          <w:b w:val="false"/>
          <w:bCs w:val="false"/>
        </w:rPr>
        <w:t>e aware of individuals needs and support plans;</w:t>
      </w:r>
    </w:p>
    <w:p>
      <w:pPr>
        <w:pStyle w:val="BodyText"/>
        <w:numPr>
          <w:ilvl w:val="0"/>
          <w:numId w:val="17"/>
        </w:numPr>
        <w:bidi w:val="0"/>
        <w:spacing w:lineRule="auto" w:line="240"/>
        <w:jc w:val="left"/>
        <w:rPr>
          <w:b w:val="false"/>
          <w:bCs w:val="false"/>
          <w:sz w:val="24"/>
        </w:rPr>
      </w:pPr>
      <w:r>
        <w:rPr>
          <w:b w:val="false"/>
          <w:bCs w:val="false"/>
        </w:rPr>
        <w:t>Deliver inclusive, person-centred support;</w:t>
      </w:r>
    </w:p>
    <w:p>
      <w:pPr>
        <w:pStyle w:val="BodyText"/>
        <w:numPr>
          <w:ilvl w:val="0"/>
          <w:numId w:val="17"/>
        </w:numPr>
        <w:bidi w:val="0"/>
        <w:spacing w:lineRule="auto" w:line="240"/>
        <w:jc w:val="left"/>
        <w:rPr>
          <w:b w:val="false"/>
          <w:bCs w:val="false"/>
          <w:sz w:val="24"/>
        </w:rPr>
      </w:pPr>
      <w:r>
        <w:rPr>
          <w:b w:val="false"/>
          <w:bCs w:val="false"/>
        </w:rPr>
        <w:t xml:space="preserve">follow risk assessments for equine activities; </w:t>
      </w:r>
    </w:p>
    <w:p>
      <w:pPr>
        <w:pStyle w:val="BodyText"/>
        <w:numPr>
          <w:ilvl w:val="0"/>
          <w:numId w:val="17"/>
        </w:numPr>
        <w:bidi w:val="0"/>
        <w:spacing w:lineRule="auto" w:line="240"/>
        <w:jc w:val="left"/>
        <w:rPr>
          <w:b w:val="false"/>
          <w:bCs w:val="false"/>
          <w:sz w:val="24"/>
        </w:rPr>
      </w:pPr>
      <w:r>
        <w:rPr>
          <w:b w:val="false"/>
          <w:bCs w:val="false"/>
        </w:rPr>
        <w:t xml:space="preserve">implement agreed strategies and reasonable adjustments; </w:t>
      </w:r>
    </w:p>
    <w:p>
      <w:pPr>
        <w:pStyle w:val="BodyText"/>
        <w:numPr>
          <w:ilvl w:val="0"/>
          <w:numId w:val="17"/>
        </w:numPr>
        <w:bidi w:val="0"/>
        <w:spacing w:lineRule="auto" w:line="240"/>
        <w:jc w:val="left"/>
        <w:rPr>
          <w:b w:val="false"/>
          <w:bCs w:val="false"/>
          <w:sz w:val="24"/>
        </w:rPr>
      </w:pPr>
      <w:r>
        <w:rPr>
          <w:b w:val="false"/>
          <w:bCs w:val="false"/>
        </w:rPr>
        <w:t>monitor participant’s progress and wellbeing;</w:t>
      </w:r>
    </w:p>
    <w:p>
      <w:pPr>
        <w:pStyle w:val="BodyText"/>
        <w:numPr>
          <w:ilvl w:val="0"/>
          <w:numId w:val="17"/>
        </w:numPr>
        <w:bidi w:val="0"/>
        <w:spacing w:lineRule="auto" w:line="240"/>
        <w:jc w:val="left"/>
        <w:rPr>
          <w:b w:val="false"/>
          <w:bCs w:val="false"/>
          <w:sz w:val="24"/>
        </w:rPr>
      </w:pPr>
      <w:r>
        <w:rPr>
          <w:b w:val="false"/>
          <w:bCs w:val="false"/>
        </w:rPr>
        <w:t xml:space="preserve">report any concerns or changes needed promptly to the Programme Lead; and </w:t>
      </w:r>
    </w:p>
    <w:p>
      <w:pPr>
        <w:pStyle w:val="BodyText"/>
        <w:numPr>
          <w:ilvl w:val="0"/>
          <w:numId w:val="17"/>
        </w:numPr>
        <w:bidi w:val="0"/>
        <w:spacing w:lineRule="auto" w:line="240"/>
        <w:jc w:val="left"/>
        <w:rPr>
          <w:b w:val="false"/>
          <w:bCs w:val="false"/>
          <w:sz w:val="24"/>
        </w:rPr>
      </w:pPr>
      <w:r>
        <w:rPr>
          <w:b w:val="false"/>
          <w:bCs w:val="false"/>
        </w:rPr>
        <w:t xml:space="preserve">maintain accurate records when required. </w:t>
      </w:r>
    </w:p>
    <w:p>
      <w:pPr>
        <w:pStyle w:val="BodyText"/>
        <w:bidi w:val="0"/>
        <w:spacing w:lineRule="auto" w:line="240"/>
        <w:jc w:val="left"/>
        <w:rPr>
          <w:b w:val="false"/>
          <w:bCs w:val="false"/>
          <w:sz w:val="24"/>
        </w:rPr>
      </w:pPr>
      <w:r>
        <w:rPr>
          <w:b w:val="false"/>
          <w:bCs w:val="false"/>
        </w:rPr>
        <w:t>Trustees will:</w:t>
      </w:r>
    </w:p>
    <w:p>
      <w:pPr>
        <w:pStyle w:val="BodyText"/>
        <w:numPr>
          <w:ilvl w:val="0"/>
          <w:numId w:val="18"/>
        </w:numPr>
        <w:bidi w:val="0"/>
        <w:spacing w:lineRule="auto" w:line="240"/>
        <w:jc w:val="left"/>
        <w:rPr>
          <w:b w:val="false"/>
          <w:bCs w:val="false"/>
          <w:sz w:val="24"/>
        </w:rPr>
      </w:pPr>
      <w:r>
        <w:rPr>
          <w:b w:val="false"/>
          <w:bCs w:val="false"/>
        </w:rPr>
        <w:t xml:space="preserve">The Trustees will ensure that CSET fulfils its responsibilities under relevant SEND legislation. </w:t>
      </w:r>
    </w:p>
    <w:p>
      <w:pPr>
        <w:pStyle w:val="Normal"/>
        <w:numPr>
          <w:ilvl w:val="0"/>
          <w:numId w:val="18"/>
        </w:numPr>
        <w:bidi w:val="0"/>
        <w:spacing w:lineRule="auto" w:line="240" w:before="0" w:after="0"/>
        <w:jc w:val="left"/>
        <w:rPr/>
      </w:pPr>
      <w:r>
        <w:rPr/>
        <w:t>provide appropriate resources for SEND provision.</w:t>
      </w:r>
    </w:p>
    <w:p>
      <w:pPr>
        <w:pStyle w:val="Normal"/>
        <w:numPr>
          <w:ilvl w:val="0"/>
          <w:numId w:val="18"/>
        </w:numPr>
        <w:bidi w:val="0"/>
        <w:spacing w:lineRule="auto" w:line="240" w:before="0" w:after="0"/>
        <w:jc w:val="left"/>
        <w:rPr/>
      </w:pPr>
      <w:r>
        <w:rPr/>
        <w:t xml:space="preserve">Monitor the implementation and review of this policy. </w:t>
      </w:r>
    </w:p>
    <w:p>
      <w:pPr>
        <w:pStyle w:val="Normal"/>
        <w:bidi w:val="0"/>
        <w:spacing w:lineRule="auto" w:line="240" w:before="0" w:after="0"/>
        <w:jc w:val="left"/>
        <w:rPr/>
      </w:pPr>
      <w:r>
        <w:rPr/>
      </w:r>
    </w:p>
    <w:p>
      <w:pPr>
        <w:pStyle w:val="Normal"/>
        <w:bidi w:val="0"/>
        <w:spacing w:lineRule="auto" w:line="240" w:before="0" w:after="0"/>
        <w:jc w:val="left"/>
        <w:rPr/>
      </w:pPr>
      <w:r>
        <w:rPr/>
      </w:r>
    </w:p>
    <w:p>
      <w:pPr>
        <w:pStyle w:val="BodyText"/>
        <w:bidi w:val="0"/>
        <w:spacing w:lineRule="auto" w:line="240"/>
        <w:jc w:val="left"/>
        <w:rPr>
          <w:b/>
          <w:bCs/>
          <w:sz w:val="24"/>
        </w:rPr>
      </w:pPr>
      <w:r>
        <w:rPr>
          <w:b/>
          <w:bCs/>
        </w:rPr>
        <w:t>1</w:t>
      </w:r>
      <w:r>
        <w:rPr>
          <w:b/>
          <w:bCs/>
        </w:rPr>
        <w:t>0.</w:t>
      </w:r>
      <w:r>
        <w:rPr>
          <w:b/>
          <w:bCs/>
        </w:rPr>
        <w:t xml:space="preserve"> Partnership with Parents, Carers and Professionals</w:t>
      </w:r>
    </w:p>
    <w:p>
      <w:pPr>
        <w:pStyle w:val="BodyText"/>
        <w:bidi w:val="0"/>
        <w:spacing w:lineRule="auto" w:line="240"/>
        <w:jc w:val="left"/>
        <w:rPr>
          <w:b w:val="false"/>
          <w:bCs w:val="false"/>
          <w:sz w:val="24"/>
        </w:rPr>
      </w:pPr>
      <w:r>
        <w:rPr>
          <w:b w:val="false"/>
          <w:bCs w:val="false"/>
        </w:rPr>
        <w:t xml:space="preserve">Changing Strides Equine Therapies recognises that effective support for participants with SEND relies on strong partnership working. We will: </w:t>
      </w:r>
    </w:p>
    <w:p>
      <w:pPr>
        <w:pStyle w:val="BodyText"/>
        <w:numPr>
          <w:ilvl w:val="0"/>
          <w:numId w:val="20"/>
        </w:numPr>
        <w:bidi w:val="0"/>
        <w:spacing w:lineRule="auto" w:line="240"/>
        <w:jc w:val="left"/>
        <w:rPr>
          <w:b w:val="false"/>
          <w:bCs w:val="false"/>
          <w:sz w:val="24"/>
        </w:rPr>
      </w:pPr>
      <w:r>
        <w:rPr>
          <w:b w:val="false"/>
          <w:bCs w:val="false"/>
        </w:rPr>
        <w:t>Work collaboratively, where appropriate with external agencies, schools, local authorities, health and social care services;</w:t>
      </w:r>
    </w:p>
    <w:p>
      <w:pPr>
        <w:pStyle w:val="BodyText"/>
        <w:numPr>
          <w:ilvl w:val="0"/>
          <w:numId w:val="20"/>
        </w:numPr>
        <w:bidi w:val="0"/>
        <w:spacing w:lineRule="auto" w:line="240"/>
        <w:jc w:val="left"/>
        <w:rPr>
          <w:b w:val="false"/>
          <w:bCs w:val="false"/>
          <w:sz w:val="24"/>
        </w:rPr>
      </w:pPr>
      <w:r>
        <w:rPr>
          <w:b w:val="false"/>
          <w:bCs w:val="false"/>
        </w:rPr>
        <w:t>share relevant progress and concerns with parents, carers and referring organisations, where appropriate;</w:t>
      </w:r>
    </w:p>
    <w:p>
      <w:pPr>
        <w:pStyle w:val="BodyText"/>
        <w:numPr>
          <w:ilvl w:val="0"/>
          <w:numId w:val="20"/>
        </w:numPr>
        <w:bidi w:val="0"/>
        <w:spacing w:lineRule="auto" w:line="240"/>
        <w:jc w:val="left"/>
        <w:rPr>
          <w:b w:val="false"/>
          <w:bCs w:val="false"/>
          <w:sz w:val="24"/>
        </w:rPr>
      </w:pPr>
      <w:r>
        <w:rPr>
          <w:b w:val="false"/>
          <w:bCs w:val="false"/>
        </w:rPr>
        <w:t>Encourage participants to express their views, wishes and aspirations, and  take these into account when planning and reviewing support;</w:t>
      </w:r>
    </w:p>
    <w:p>
      <w:pPr>
        <w:pStyle w:val="BodyText"/>
        <w:numPr>
          <w:ilvl w:val="0"/>
          <w:numId w:val="20"/>
        </w:numPr>
        <w:bidi w:val="0"/>
        <w:spacing w:lineRule="auto" w:line="240"/>
        <w:jc w:val="left"/>
        <w:rPr>
          <w:b w:val="false"/>
          <w:bCs w:val="false"/>
          <w:sz w:val="24"/>
        </w:rPr>
      </w:pPr>
      <w:r>
        <w:rPr>
          <w:b w:val="false"/>
          <w:bCs w:val="false"/>
        </w:rPr>
        <w:t xml:space="preserve">invite feedback to help </w:t>
      </w:r>
      <w:r>
        <w:rPr>
          <w:b w:val="false"/>
          <w:bCs w:val="false"/>
        </w:rPr>
        <w:t>improve</w:t>
      </w:r>
      <w:r>
        <w:rPr>
          <w:b w:val="false"/>
          <w:bCs w:val="false"/>
        </w:rPr>
        <w:t xml:space="preserve"> our provision. </w:t>
      </w:r>
    </w:p>
    <w:p>
      <w:pPr>
        <w:pStyle w:val="BodyText"/>
        <w:numPr>
          <w:ilvl w:val="0"/>
          <w:numId w:val="0"/>
        </w:numPr>
        <w:bidi w:val="0"/>
        <w:spacing w:lineRule="auto" w:line="240"/>
        <w:ind w:hanging="0" w:left="720"/>
        <w:jc w:val="left"/>
        <w:rPr>
          <w:b w:val="false"/>
          <w:bCs w:val="false"/>
          <w:sz w:val="24"/>
        </w:rPr>
      </w:pPr>
      <w:r>
        <w:rPr>
          <w:b w:val="false"/>
          <w:bCs w:val="false"/>
        </w:rPr>
      </w:r>
    </w:p>
    <w:p>
      <w:pPr>
        <w:pStyle w:val="BodyText"/>
        <w:bidi w:val="0"/>
        <w:spacing w:lineRule="auto" w:line="240"/>
        <w:jc w:val="left"/>
        <w:rPr>
          <w:b/>
          <w:bCs/>
          <w:sz w:val="24"/>
        </w:rPr>
      </w:pPr>
      <w:r>
        <w:rPr>
          <w:b/>
          <w:bCs/>
        </w:rPr>
        <w:t>11. Attendance, Behaviour and Emotional Wellbeing</w:t>
      </w:r>
    </w:p>
    <w:p>
      <w:pPr>
        <w:pStyle w:val="BodyText"/>
        <w:bidi w:val="0"/>
        <w:spacing w:lineRule="auto" w:line="240"/>
        <w:jc w:val="left"/>
        <w:rPr>
          <w:b w:val="false"/>
          <w:bCs w:val="false"/>
          <w:sz w:val="24"/>
        </w:rPr>
      </w:pPr>
      <w:r>
        <w:rPr>
          <w:b w:val="false"/>
          <w:bCs w:val="false"/>
        </w:rPr>
        <w:t>Changing Strides Equine Therapies recognises that attendance, behaviour and emotional wellbeing can be influenced by a participant's individual needs and experiences.</w:t>
      </w:r>
    </w:p>
    <w:p>
      <w:pPr>
        <w:pStyle w:val="BodyText"/>
        <w:bidi w:val="0"/>
        <w:spacing w:lineRule="auto" w:line="240"/>
        <w:jc w:val="left"/>
        <w:rPr>
          <w:b w:val="false"/>
          <w:bCs w:val="false"/>
          <w:sz w:val="24"/>
        </w:rPr>
      </w:pPr>
      <w:r>
        <w:rPr>
          <w:b w:val="false"/>
          <w:bCs w:val="false"/>
        </w:rPr>
        <w:t>We view behaviour as a form of communication and respond with a calm, restorative and trauma-informed approach. Where appropriate, support strategies and reasonable adjustments will be implemented to promote engagement, emotional regulation and positive participation within our provision.</w:t>
      </w:r>
    </w:p>
    <w:p>
      <w:pPr>
        <w:pStyle w:val="BodyText"/>
        <w:bidi w:val="0"/>
        <w:spacing w:lineRule="auto" w:line="240"/>
        <w:jc w:val="left"/>
        <w:rPr>
          <w:b w:val="false"/>
          <w:bCs w:val="false"/>
          <w:sz w:val="24"/>
        </w:rPr>
      </w:pPr>
      <w:r>
        <w:rPr>
          <w:b w:val="false"/>
          <w:bCs w:val="false"/>
        </w:rPr>
        <w:t>Any concerns relating to attendance, behaviour or wellbeing will be shared with parents, carers and referring organisations, where appropriate, to ensure coordinated support.</w:t>
      </w:r>
    </w:p>
    <w:p>
      <w:pPr>
        <w:pStyle w:val="BodyText"/>
        <w:bidi w:val="0"/>
        <w:spacing w:lineRule="auto" w:line="240"/>
        <w:jc w:val="left"/>
        <w:rPr>
          <w:b w:val="false"/>
          <w:bCs w:val="false"/>
          <w:sz w:val="24"/>
        </w:rPr>
      </w:pPr>
      <w:r>
        <w:rPr>
          <w:b w:val="false"/>
          <w:bCs w:val="false"/>
        </w:rPr>
      </w:r>
    </w:p>
    <w:p>
      <w:pPr>
        <w:pStyle w:val="BodyText"/>
        <w:bidi w:val="0"/>
        <w:spacing w:lineRule="auto" w:line="240"/>
        <w:jc w:val="left"/>
        <w:rPr>
          <w:b/>
          <w:bCs/>
          <w:sz w:val="24"/>
        </w:rPr>
      </w:pPr>
      <w:r>
        <w:rPr>
          <w:b/>
          <w:bCs/>
        </w:rPr>
        <w:t xml:space="preserve">12. Safeguarding </w:t>
      </w:r>
    </w:p>
    <w:p>
      <w:pPr>
        <w:pStyle w:val="BodyText"/>
        <w:bidi w:val="0"/>
        <w:spacing w:lineRule="auto" w:line="240"/>
        <w:jc w:val="left"/>
        <w:rPr>
          <w:b w:val="false"/>
          <w:bCs w:val="false"/>
          <w:sz w:val="24"/>
        </w:rPr>
      </w:pPr>
      <w:r>
        <w:rPr>
          <w:b w:val="false"/>
          <w:bCs w:val="false"/>
        </w:rPr>
        <w:t xml:space="preserve">Participants with SEND may face additional safeguarding vulnerabilities due to their individual needs. All safeguarding concerns are managed in accordance with the CSET </w:t>
      </w:r>
      <w:r>
        <w:rPr>
          <w:b w:val="false"/>
          <w:bCs w:val="false"/>
        </w:rPr>
        <w:t>S</w:t>
      </w:r>
      <w:r>
        <w:rPr>
          <w:b w:val="false"/>
          <w:bCs w:val="false"/>
        </w:rPr>
        <w:t>afeguarding and Child Protection Policy.</w:t>
      </w:r>
    </w:p>
    <w:p>
      <w:pPr>
        <w:pStyle w:val="BodyText"/>
        <w:bidi w:val="0"/>
        <w:spacing w:lineRule="auto" w:line="240"/>
        <w:jc w:val="left"/>
        <w:rPr>
          <w:b w:val="false"/>
          <w:bCs w:val="false"/>
          <w:sz w:val="24"/>
        </w:rPr>
      </w:pPr>
      <w:r>
        <w:rPr>
          <w:b w:val="false"/>
          <w:bCs w:val="false"/>
        </w:rPr>
      </w:r>
    </w:p>
    <w:p>
      <w:pPr>
        <w:pStyle w:val="BodyText"/>
        <w:bidi w:val="0"/>
        <w:spacing w:lineRule="auto" w:line="240"/>
        <w:jc w:val="left"/>
        <w:rPr>
          <w:b/>
          <w:bCs/>
          <w:sz w:val="24"/>
        </w:rPr>
      </w:pPr>
      <w:r>
        <w:rPr>
          <w:b/>
          <w:bCs/>
        </w:rPr>
        <w:t xml:space="preserve">13. Staff Training </w:t>
      </w:r>
    </w:p>
    <w:p>
      <w:pPr>
        <w:pStyle w:val="BodyText"/>
        <w:bidi w:val="0"/>
        <w:spacing w:lineRule="auto" w:line="240"/>
        <w:jc w:val="left"/>
        <w:rPr>
          <w:b w:val="false"/>
          <w:bCs w:val="false"/>
          <w:sz w:val="24"/>
        </w:rPr>
      </w:pPr>
      <w:r>
        <w:rPr>
          <w:b w:val="false"/>
          <w:bCs w:val="false"/>
        </w:rPr>
        <w:t>Changing Strides Equine Therapies is committed to ensuring that staff and volunteers have the knowledge and skills to effectively support participants with SEND.</w:t>
      </w:r>
    </w:p>
    <w:p>
      <w:pPr>
        <w:pStyle w:val="BodyText"/>
        <w:bidi w:val="0"/>
        <w:spacing w:lineRule="auto" w:line="240"/>
        <w:jc w:val="left"/>
        <w:rPr>
          <w:b w:val="false"/>
          <w:bCs w:val="false"/>
          <w:sz w:val="24"/>
        </w:rPr>
      </w:pPr>
      <w:r>
        <w:rPr>
          <w:b w:val="false"/>
          <w:bCs w:val="false"/>
        </w:rPr>
        <w:t>Training may include:</w:t>
      </w:r>
    </w:p>
    <w:p>
      <w:pPr>
        <w:pStyle w:val="BodyText"/>
        <w:numPr>
          <w:ilvl w:val="0"/>
          <w:numId w:val="21"/>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SEND awareness; </w:t>
      </w:r>
    </w:p>
    <w:p>
      <w:pPr>
        <w:pStyle w:val="BodyText"/>
        <w:numPr>
          <w:ilvl w:val="0"/>
          <w:numId w:val="21"/>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Autism; </w:t>
      </w:r>
    </w:p>
    <w:p>
      <w:pPr>
        <w:pStyle w:val="BodyText"/>
        <w:numPr>
          <w:ilvl w:val="0"/>
          <w:numId w:val="21"/>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ADHD; </w:t>
      </w:r>
    </w:p>
    <w:p>
      <w:pPr>
        <w:pStyle w:val="BodyText"/>
        <w:numPr>
          <w:ilvl w:val="0"/>
          <w:numId w:val="21"/>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Social, Emotional and Mental Health (SEMH); </w:t>
      </w:r>
    </w:p>
    <w:p>
      <w:pPr>
        <w:pStyle w:val="BodyText"/>
        <w:numPr>
          <w:ilvl w:val="0"/>
          <w:numId w:val="21"/>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trauma-informed practice; </w:t>
      </w:r>
    </w:p>
    <w:p>
      <w:pPr>
        <w:pStyle w:val="BodyText"/>
        <w:numPr>
          <w:ilvl w:val="0"/>
          <w:numId w:val="21"/>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Positive Behaviour Support; </w:t>
      </w:r>
    </w:p>
    <w:p>
      <w:pPr>
        <w:pStyle w:val="BodyText"/>
        <w:numPr>
          <w:ilvl w:val="0"/>
          <w:numId w:val="21"/>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communication strategies; </w:t>
      </w:r>
    </w:p>
    <w:p>
      <w:pPr>
        <w:pStyle w:val="BodyText"/>
        <w:numPr>
          <w:ilvl w:val="0"/>
          <w:numId w:val="21"/>
        </w:numPr>
        <w:tabs>
          <w:tab w:val="clear" w:pos="709"/>
          <w:tab w:val="left" w:pos="709" w:leader="none"/>
        </w:tabs>
        <w:bidi w:val="0"/>
        <w:spacing w:lineRule="auto" w:line="240" w:before="0" w:after="0"/>
        <w:ind w:hanging="283" w:left="709"/>
        <w:jc w:val="left"/>
        <w:rPr>
          <w:b w:val="false"/>
          <w:bCs w:val="false"/>
          <w:sz w:val="24"/>
        </w:rPr>
      </w:pPr>
      <w:r>
        <w:rPr>
          <w:b w:val="false"/>
          <w:bCs w:val="false"/>
        </w:rPr>
        <w:t xml:space="preserve">safeguarding; and </w:t>
      </w:r>
    </w:p>
    <w:p>
      <w:pPr>
        <w:pStyle w:val="BodyText"/>
        <w:numPr>
          <w:ilvl w:val="0"/>
          <w:numId w:val="21"/>
        </w:numPr>
        <w:tabs>
          <w:tab w:val="clear" w:pos="709"/>
          <w:tab w:val="left" w:pos="709" w:leader="none"/>
        </w:tabs>
        <w:bidi w:val="0"/>
        <w:spacing w:lineRule="auto" w:line="240"/>
        <w:ind w:hanging="283" w:left="709"/>
        <w:jc w:val="left"/>
        <w:rPr>
          <w:b w:val="false"/>
          <w:bCs w:val="false"/>
          <w:sz w:val="24"/>
        </w:rPr>
      </w:pPr>
      <w:r>
        <w:rPr>
          <w:b w:val="false"/>
          <w:bCs w:val="false"/>
        </w:rPr>
        <w:t xml:space="preserve">equine safety. </w:t>
      </w:r>
    </w:p>
    <w:p>
      <w:pPr>
        <w:pStyle w:val="BodyText"/>
        <w:bidi w:val="0"/>
        <w:spacing w:lineRule="auto" w:line="240"/>
        <w:jc w:val="left"/>
        <w:rPr>
          <w:b w:val="false"/>
          <w:bCs w:val="false"/>
          <w:sz w:val="24"/>
        </w:rPr>
      </w:pPr>
      <w:r>
        <w:rPr>
          <w:b w:val="false"/>
          <w:bCs w:val="false"/>
        </w:rPr>
        <w:t>Training will be reviewed regularly to ensure staff remain confident in meeting the diverse needs of participants.</w:t>
      </w:r>
    </w:p>
    <w:p>
      <w:pPr>
        <w:pStyle w:val="BodyText"/>
        <w:bidi w:val="0"/>
        <w:spacing w:lineRule="auto" w:line="240"/>
        <w:jc w:val="left"/>
        <w:rPr>
          <w:b w:val="false"/>
          <w:bCs w:val="false"/>
          <w:sz w:val="24"/>
        </w:rPr>
      </w:pPr>
      <w:r>
        <w:rPr>
          <w:b w:val="false"/>
          <w:bCs w:val="false"/>
        </w:rPr>
      </w:r>
    </w:p>
    <w:p>
      <w:pPr>
        <w:pStyle w:val="BodyText"/>
        <w:bidi w:val="0"/>
        <w:spacing w:lineRule="auto" w:line="240"/>
        <w:jc w:val="left"/>
        <w:rPr>
          <w:b/>
          <w:bCs/>
          <w:sz w:val="24"/>
        </w:rPr>
      </w:pPr>
      <w:r>
        <w:rPr>
          <w:b/>
          <w:bCs/>
        </w:rPr>
      </w:r>
    </w:p>
    <w:p>
      <w:pPr>
        <w:pStyle w:val="BodyText"/>
        <w:bidi w:val="0"/>
        <w:spacing w:lineRule="auto" w:line="240"/>
        <w:jc w:val="left"/>
        <w:rPr>
          <w:b/>
          <w:bCs/>
          <w:sz w:val="24"/>
        </w:rPr>
      </w:pPr>
      <w:r>
        <w:rPr>
          <w:b/>
          <w:bCs/>
        </w:rPr>
        <w:t>14. Monitoring and Review</w:t>
      </w:r>
    </w:p>
    <w:p>
      <w:pPr>
        <w:pStyle w:val="BodyText"/>
        <w:bidi w:val="0"/>
        <w:spacing w:lineRule="auto" w:line="240"/>
        <w:jc w:val="left"/>
        <w:rPr>
          <w:b w:val="false"/>
          <w:bCs w:val="false"/>
          <w:sz w:val="24"/>
        </w:rPr>
      </w:pPr>
      <w:r>
        <w:rPr>
          <w:b w:val="false"/>
          <w:bCs w:val="false"/>
        </w:rPr>
        <w:t>CSET is committed to continually improving the quality of its SEND provision.</w:t>
      </w:r>
    </w:p>
    <w:p>
      <w:pPr>
        <w:pStyle w:val="BodyText"/>
        <w:bidi w:val="0"/>
        <w:spacing w:lineRule="auto" w:line="240"/>
        <w:jc w:val="left"/>
        <w:rPr>
          <w:b w:val="false"/>
          <w:bCs w:val="false"/>
          <w:sz w:val="24"/>
        </w:rPr>
      </w:pPr>
      <w:r>
        <w:rPr>
          <w:b w:val="false"/>
          <w:bCs w:val="false"/>
        </w:rPr>
        <w:t>This will be achieved by:</w:t>
      </w:r>
    </w:p>
    <w:p>
      <w:pPr>
        <w:pStyle w:val="BodyText"/>
        <w:numPr>
          <w:ilvl w:val="0"/>
          <w:numId w:val="22"/>
        </w:numPr>
        <w:tabs>
          <w:tab w:val="clear" w:pos="709"/>
          <w:tab w:val="left" w:pos="720" w:leader="none"/>
        </w:tabs>
        <w:bidi w:val="0"/>
        <w:spacing w:lineRule="auto" w:line="240" w:before="0" w:after="0"/>
        <w:ind w:hanging="283" w:left="720"/>
        <w:jc w:val="left"/>
        <w:rPr>
          <w:sz w:val="24"/>
        </w:rPr>
      </w:pPr>
      <w:r>
        <w:rPr/>
        <w:t>monitoring participant progress and outcomes;</w:t>
      </w:r>
    </w:p>
    <w:p>
      <w:pPr>
        <w:pStyle w:val="BodyText"/>
        <w:numPr>
          <w:ilvl w:val="0"/>
          <w:numId w:val="22"/>
        </w:numPr>
        <w:tabs>
          <w:tab w:val="clear" w:pos="709"/>
          <w:tab w:val="left" w:pos="720" w:leader="none"/>
        </w:tabs>
        <w:bidi w:val="0"/>
        <w:spacing w:lineRule="auto" w:line="240" w:before="0" w:after="0"/>
        <w:ind w:hanging="283" w:left="720"/>
        <w:jc w:val="left"/>
        <w:rPr>
          <w:sz w:val="24"/>
        </w:rPr>
      </w:pPr>
      <w:r>
        <w:rPr/>
        <w:t xml:space="preserve">seeking feedback from participants, parents, carers and referring organisations; </w:t>
      </w:r>
    </w:p>
    <w:p>
      <w:pPr>
        <w:pStyle w:val="BodyText"/>
        <w:numPr>
          <w:ilvl w:val="0"/>
          <w:numId w:val="23"/>
        </w:numPr>
        <w:tabs>
          <w:tab w:val="clear" w:pos="709"/>
          <w:tab w:val="left" w:pos="720" w:leader="none"/>
        </w:tabs>
        <w:bidi w:val="0"/>
        <w:spacing w:lineRule="auto" w:line="240" w:before="0" w:after="0"/>
        <w:ind w:hanging="283" w:left="720"/>
        <w:jc w:val="left"/>
        <w:rPr>
          <w:sz w:val="24"/>
        </w:rPr>
      </w:pPr>
      <w:r>
        <w:rPr/>
        <w:t xml:space="preserve">reviewing the effectiveness of support provided; </w:t>
      </w:r>
    </w:p>
    <w:p>
      <w:pPr>
        <w:pStyle w:val="BodyText"/>
        <w:numPr>
          <w:ilvl w:val="0"/>
          <w:numId w:val="24"/>
        </w:numPr>
        <w:tabs>
          <w:tab w:val="clear" w:pos="709"/>
          <w:tab w:val="left" w:pos="720" w:leader="none"/>
        </w:tabs>
        <w:bidi w:val="0"/>
        <w:spacing w:lineRule="auto" w:line="240" w:before="0" w:after="0"/>
        <w:ind w:hanging="283" w:left="720"/>
        <w:jc w:val="left"/>
        <w:rPr>
          <w:sz w:val="24"/>
        </w:rPr>
      </w:pPr>
      <w:r>
        <w:rPr/>
        <w:t xml:space="preserve">undertaking quality assurance and continuous improvement processes; </w:t>
      </w:r>
    </w:p>
    <w:p>
      <w:pPr>
        <w:pStyle w:val="BodyText"/>
        <w:numPr>
          <w:ilvl w:val="0"/>
          <w:numId w:val="25"/>
        </w:numPr>
        <w:tabs>
          <w:tab w:val="clear" w:pos="709"/>
          <w:tab w:val="left" w:pos="720" w:leader="none"/>
        </w:tabs>
        <w:bidi w:val="0"/>
        <w:spacing w:lineRule="auto" w:line="240" w:before="0" w:after="0"/>
        <w:ind w:hanging="283" w:left="720"/>
        <w:jc w:val="left"/>
        <w:rPr>
          <w:sz w:val="24"/>
        </w:rPr>
      </w:pPr>
      <w:r>
        <w:rPr/>
        <w:t xml:space="preserve">providing oversight by the Board of Trustees; and </w:t>
      </w:r>
    </w:p>
    <w:p>
      <w:pPr>
        <w:pStyle w:val="BodyText"/>
        <w:numPr>
          <w:ilvl w:val="0"/>
          <w:numId w:val="25"/>
        </w:numPr>
        <w:tabs>
          <w:tab w:val="clear" w:pos="709"/>
          <w:tab w:val="left" w:pos="720" w:leader="none"/>
        </w:tabs>
        <w:bidi w:val="0"/>
        <w:spacing w:lineRule="auto" w:line="240" w:before="0" w:after="0"/>
        <w:ind w:hanging="283" w:left="720"/>
        <w:jc w:val="left"/>
        <w:rPr>
          <w:sz w:val="24"/>
        </w:rPr>
      </w:pPr>
      <w:r>
        <w:rPr/>
        <w:t xml:space="preserve">reviewing this policy annually, or sooner if there are changes to legislation or guidance. </w:t>
      </w:r>
    </w:p>
    <w:p>
      <w:pPr>
        <w:pStyle w:val="BodyText"/>
        <w:bidi w:val="0"/>
        <w:spacing w:lineRule="auto" w:line="240"/>
        <w:jc w:val="left"/>
        <w:rPr>
          <w:sz w:val="24"/>
        </w:rPr>
      </w:pPr>
      <w:r>
        <w:rPr/>
      </w:r>
    </w:p>
    <w:p>
      <w:pPr>
        <w:pStyle w:val="HorizontalLine"/>
        <w:bidi w:val="0"/>
        <w:jc w:val="left"/>
        <w:rPr>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pPr>
      <w:r>
        <w:rPr>
          <w:rStyle w:val="StrongEmphasis"/>
          <w:rFonts w:ascii="Linux Libertine G" w:hAnsi="Linux Libertine G"/>
          <w:sz w:val="22"/>
          <w:szCs w:val="22"/>
        </w:rPr>
        <w:t>Approved by:</w:t>
      </w:r>
    </w:p>
    <w:p>
      <w:pPr>
        <w:pStyle w:val="BodyText"/>
        <w:bidi w:val="0"/>
        <w:spacing w:lineRule="auto" w:line="276" w:before="0" w:after="140"/>
        <w:jc w:val="left"/>
        <w:rPr>
          <w:rFonts w:ascii="Linux Libertine G" w:hAnsi="Linux Libertine G"/>
          <w:sz w:val="22"/>
          <w:szCs w:val="22"/>
        </w:rPr>
      </w:pPr>
      <w:r>
        <w:rPr>
          <w:rStyle w:val="Strong"/>
          <w:rFonts w:ascii="Linux Libertine G" w:hAnsi="Linux Libertine G"/>
          <w:sz w:val="22"/>
          <w:szCs w:val="22"/>
        </w:rPr>
        <w:t>Claire Kellaway-Moore</w:t>
      </w:r>
      <w:r>
        <w:rPr>
          <w:rFonts w:ascii="Linux Libertine G" w:hAnsi="Linux Libertine G"/>
          <w:sz w:val="22"/>
          <w:szCs w:val="22"/>
        </w:rPr>
        <w:br/>
      </w:r>
      <w:r>
        <w:rPr>
          <w:rStyle w:val="Emphasis"/>
          <w:rFonts w:ascii="Linux Libertine G" w:hAnsi="Linux Libertine G"/>
          <w:sz w:val="22"/>
          <w:szCs w:val="22"/>
        </w:rPr>
        <w:t xml:space="preserve">Programme Lead </w:t>
      </w:r>
    </w:p>
    <w:p>
      <w:pPr>
        <w:pStyle w:val="BodyText"/>
        <w:bidi w:val="0"/>
        <w:jc w:val="left"/>
        <w:rPr>
          <w:rFonts w:ascii="Linux Libertine G" w:hAnsi="Linux Libertine G"/>
          <w:sz w:val="22"/>
          <w:szCs w:val="22"/>
        </w:rPr>
      </w:pPr>
      <w:r>
        <w:rPr>
          <w:rStyle w:val="Strong"/>
          <w:rFonts w:ascii="Linux Libertine G" w:hAnsi="Linux Libertine G"/>
          <w:sz w:val="22"/>
          <w:szCs w:val="22"/>
        </w:rPr>
        <w:t>Approved by:</w:t>
      </w:r>
    </w:p>
    <w:p>
      <w:pPr>
        <w:pStyle w:val="BodyText"/>
        <w:bidi w:val="0"/>
        <w:jc w:val="left"/>
        <w:rPr>
          <w:rFonts w:ascii="Linux Libertine G" w:hAnsi="Linux Libertine G"/>
          <w:sz w:val="22"/>
          <w:szCs w:val="22"/>
        </w:rPr>
      </w:pPr>
      <w:r>
        <w:rPr>
          <w:rStyle w:val="Strong"/>
          <w:rFonts w:ascii="Linux Libertine G" w:hAnsi="Linux Libertine G"/>
          <w:b w:val="false"/>
          <w:bCs w:val="false"/>
          <w:i/>
          <w:iCs/>
          <w:sz w:val="22"/>
          <w:szCs w:val="22"/>
        </w:rPr>
        <w:t xml:space="preserve">Board Of Trustees </w:t>
      </w:r>
    </w:p>
    <w:p>
      <w:pPr>
        <w:pStyle w:val="BodyText"/>
        <w:bidi w:val="0"/>
        <w:jc w:val="left"/>
        <w:rPr>
          <w:rFonts w:ascii="Linux Libertine G" w:hAnsi="Linux Libertine G"/>
          <w:sz w:val="22"/>
          <w:szCs w:val="22"/>
        </w:rPr>
      </w:pPr>
      <w:r>
        <w:rPr/>
      </w:r>
    </w:p>
    <w:p>
      <w:pPr>
        <w:pStyle w:val="BodyText"/>
        <w:bidi w:val="0"/>
        <w:jc w:val="left"/>
        <w:rPr>
          <w:rFonts w:ascii="Linux Libertine G" w:hAnsi="Linux Libertine G"/>
          <w:sz w:val="22"/>
          <w:szCs w:val="22"/>
        </w:rPr>
      </w:pPr>
      <w:r>
        <w:rPr>
          <w:rStyle w:val="Strong"/>
          <w:rFonts w:ascii="Linux Libertine G" w:hAnsi="Linux Libertine G"/>
          <w:sz w:val="22"/>
          <w:szCs w:val="22"/>
        </w:rPr>
        <w:t>Date Approved:</w:t>
      </w:r>
      <w:r>
        <w:rPr>
          <w:rFonts w:ascii="Linux Libertine G" w:hAnsi="Linux Libertine G"/>
          <w:sz w:val="22"/>
          <w:szCs w:val="22"/>
        </w:rPr>
        <w:t xml:space="preserve"> 30 July 2026</w:t>
      </w:r>
    </w:p>
    <w:p>
      <w:pPr>
        <w:pStyle w:val="BodyText"/>
        <w:bidi w:val="0"/>
        <w:jc w:val="left"/>
        <w:rPr>
          <w:rFonts w:ascii="Linux Libertine G" w:hAnsi="Linux Libertine G"/>
          <w:sz w:val="22"/>
          <w:szCs w:val="22"/>
        </w:rPr>
      </w:pPr>
      <w:r>
        <w:rPr>
          <w:rStyle w:val="Strong"/>
          <w:rFonts w:ascii="Linux Libertine G" w:hAnsi="Linux Libertine G"/>
          <w:sz w:val="22"/>
          <w:szCs w:val="22"/>
        </w:rPr>
        <w:t>Next Review Date:</w:t>
      </w:r>
      <w:r>
        <w:rPr>
          <w:rFonts w:ascii="Linux Libertine G" w:hAnsi="Linux Libertine G"/>
          <w:sz w:val="22"/>
          <w:szCs w:val="22"/>
        </w:rPr>
        <w:t xml:space="preserve"> July 2027</w:t>
      </w:r>
    </w:p>
    <w:p>
      <w:pPr>
        <w:pStyle w:val="BodyText"/>
        <w:bidi w:val="0"/>
        <w:spacing w:lineRule="auto" w:line="240"/>
        <w:jc w:val="left"/>
        <w:rPr>
          <w:sz w:val="24"/>
        </w:rPr>
      </w:pPr>
      <w:r>
        <w:rPr/>
      </w:r>
    </w:p>
    <w:p>
      <w:pPr>
        <w:pStyle w:val="BodyText"/>
        <w:bidi w:val="0"/>
        <w:spacing w:lineRule="auto" w:line="240"/>
        <w:jc w:val="left"/>
        <w:rPr>
          <w:sz w:val="24"/>
        </w:rPr>
      </w:pPr>
      <w:r>
        <w:rPr/>
      </w:r>
    </w:p>
    <w:p>
      <w:pPr>
        <w:pStyle w:val="BodyText"/>
        <w:bidi w:val="0"/>
        <w:spacing w:lineRule="auto" w:line="240"/>
        <w:jc w:val="left"/>
        <w:rPr>
          <w:b/>
          <w:bCs/>
          <w:sz w:val="24"/>
        </w:rPr>
      </w:pPr>
      <w:r>
        <w:rPr>
          <w:b/>
          <w:bCs/>
        </w:rPr>
      </w:r>
    </w:p>
    <w:p>
      <w:pPr>
        <w:pStyle w:val="BodyText"/>
        <w:bidi w:val="0"/>
        <w:spacing w:lineRule="auto" w:line="240"/>
        <w:jc w:val="left"/>
        <w:rPr>
          <w:b w:val="false"/>
          <w:bCs w:val="false"/>
          <w:sz w:val="24"/>
        </w:rPr>
      </w:pPr>
      <w:r>
        <w:rPr>
          <w:b w:val="false"/>
          <w:bCs w:val="false"/>
        </w:rPr>
      </w:r>
    </w:p>
    <w:p>
      <w:pPr>
        <w:pStyle w:val="BodyText"/>
        <w:bidi w:val="0"/>
        <w:spacing w:lineRule="auto" w:line="240"/>
        <w:jc w:val="left"/>
        <w:rPr>
          <w:b/>
          <w:bCs/>
          <w:sz w:val="24"/>
        </w:rPr>
      </w:pPr>
      <w:r>
        <w:rPr>
          <w:b/>
          <w:bCs/>
        </w:rPr>
      </w:r>
    </w:p>
    <w:p>
      <w:pPr>
        <w:pStyle w:val="BodyText"/>
        <w:bidi w:val="0"/>
        <w:spacing w:lineRule="auto" w:line="240"/>
        <w:jc w:val="left"/>
        <w:rPr>
          <w:b w:val="false"/>
          <w:bCs w:val="false"/>
          <w:sz w:val="24"/>
        </w:rPr>
      </w:pPr>
      <w:r>
        <w:rPr>
          <w:b w:val="false"/>
          <w:bCs w:val="false"/>
        </w:rPr>
      </w:r>
    </w:p>
    <w:p>
      <w:pPr>
        <w:pStyle w:val="BodyText"/>
        <w:bidi w:val="0"/>
        <w:spacing w:lineRule="auto" w:line="240"/>
        <w:jc w:val="left"/>
        <w:rPr>
          <w:b w:val="false"/>
          <w:bCs w:val="false"/>
          <w:sz w:val="24"/>
        </w:rPr>
      </w:pPr>
      <w:r>
        <w:rPr>
          <w:b w:val="false"/>
          <w:bCs w:val="false"/>
        </w:rPr>
      </w:r>
    </w:p>
    <w:p>
      <w:pPr>
        <w:pStyle w:val="BodyText"/>
        <w:bidi w:val="0"/>
        <w:spacing w:lineRule="auto" w:line="240"/>
        <w:jc w:val="left"/>
        <w:rPr>
          <w:b/>
          <w:bCs/>
          <w:sz w:val="24"/>
        </w:rPr>
      </w:pPr>
      <w:r>
        <w:rPr>
          <w:b/>
          <w:bCs/>
        </w:rPr>
      </w:r>
    </w:p>
    <w:p>
      <w:pPr>
        <w:pStyle w:val="BodyText"/>
        <w:bidi w:val="0"/>
        <w:spacing w:lineRule="auto" w:line="240"/>
        <w:jc w:val="left"/>
        <w:rPr>
          <w:b/>
          <w:bCs/>
          <w:sz w:val="24"/>
        </w:rPr>
      </w:pPr>
      <w:r>
        <w:rPr>
          <w:b/>
          <w:bCs/>
        </w:rPr>
      </w:r>
    </w:p>
    <w:p>
      <w:pPr>
        <w:pStyle w:val="BodyText"/>
        <w:bidi w:val="0"/>
        <w:spacing w:lineRule="auto" w:line="240"/>
        <w:jc w:val="left"/>
        <w:rPr>
          <w:b w:val="false"/>
          <w:bCs w:val="false"/>
          <w:sz w:val="24"/>
        </w:rPr>
      </w:pPr>
      <w:r>
        <w:rPr>
          <w:b w:val="false"/>
          <w:bCs w:val="false"/>
        </w:rPr>
      </w:r>
    </w:p>
    <w:p>
      <w:pPr>
        <w:pStyle w:val="BodyText"/>
        <w:bidi w:val="0"/>
        <w:spacing w:lineRule="auto" w:line="240"/>
        <w:jc w:val="left"/>
        <w:rPr>
          <w:b/>
          <w:bCs/>
          <w:sz w:val="24"/>
        </w:rPr>
      </w:pPr>
      <w:r>
        <w:rPr>
          <w:b/>
          <w:bCs/>
        </w:rPr>
      </w:r>
    </w:p>
    <w:p>
      <w:pPr>
        <w:pStyle w:val="BodyText"/>
        <w:bidi w:val="0"/>
        <w:spacing w:lineRule="auto" w:line="240"/>
        <w:jc w:val="left"/>
        <w:rPr>
          <w:b/>
          <w:bCs/>
          <w:sz w:val="24"/>
        </w:rPr>
      </w:pPr>
      <w:r>
        <w:rPr>
          <w:b/>
          <w:bCs/>
        </w:rPr>
      </w:r>
    </w:p>
    <w:p>
      <w:pPr>
        <w:pStyle w:val="BodyText"/>
        <w:bidi w:val="0"/>
        <w:spacing w:lineRule="auto" w:line="240"/>
        <w:jc w:val="left"/>
        <w:rPr>
          <w:b/>
          <w:bCs/>
          <w:sz w:val="24"/>
        </w:rPr>
      </w:pPr>
      <w:r>
        <w:rPr>
          <w:b/>
          <w:bCs/>
        </w:rPr>
      </w:r>
    </w:p>
    <w:p>
      <w:pPr>
        <w:pStyle w:val="BodyText"/>
        <w:bidi w:val="0"/>
        <w:spacing w:lineRule="auto" w:line="240"/>
        <w:jc w:val="left"/>
        <w:rPr>
          <w:b w:val="false"/>
          <w:bCs w:val="false"/>
          <w:sz w:val="24"/>
        </w:rPr>
      </w:pPr>
      <w:r>
        <w:rPr>
          <w:b w:val="false"/>
          <w:bCs w:val="false"/>
        </w:rPr>
      </w:r>
    </w:p>
    <w:p>
      <w:pPr>
        <w:pStyle w:val="BodyText"/>
        <w:bidi w:val="0"/>
        <w:spacing w:lineRule="auto" w:line="240"/>
        <w:jc w:val="left"/>
        <w:rPr>
          <w:b w:val="false"/>
          <w:bCs w:val="false"/>
          <w:sz w:val="24"/>
        </w:rPr>
      </w:pPr>
      <w:r>
        <w:rPr>
          <w:b w:val="false"/>
          <w:bCs w:val="false"/>
        </w:rPr>
      </w:r>
    </w:p>
    <w:p>
      <w:pPr>
        <w:pStyle w:val="BodyText"/>
        <w:bidi w:val="0"/>
        <w:spacing w:lineRule="auto" w:line="240"/>
        <w:jc w:val="left"/>
        <w:rPr>
          <w:b w:val="false"/>
          <w:bCs w:val="false"/>
          <w:sz w:val="24"/>
        </w:rPr>
      </w:pPr>
      <w:r>
        <w:rPr>
          <w:b w:val="false"/>
          <w:bCs w:val="false"/>
        </w:rPr>
      </w:r>
    </w:p>
    <w:p>
      <w:pPr>
        <w:pStyle w:val="BodyText"/>
        <w:bidi w:val="0"/>
        <w:spacing w:lineRule="auto" w:line="240" w:before="0" w:after="140"/>
        <w:jc w:val="left"/>
        <w:rPr>
          <w:b w:val="false"/>
          <w:bCs w:val="false"/>
          <w:sz w:val="24"/>
          <w:szCs w:val="24"/>
        </w:rPr>
      </w:pPr>
      <w:r>
        <w:rPr>
          <w:b w:val="false"/>
          <w:bCs w:val="false"/>
          <w:sz w:val="24"/>
          <w:szCs w:val="24"/>
        </w:rPr>
      </w:r>
    </w:p>
    <w:sectPr>
      <w:headerReference w:type="default" r:id="rId2"/>
      <w:footerReference w:type="default" r:id="rId3"/>
      <w:type w:val="nextPage"/>
      <w:pgSz w:w="11906" w:h="16838"/>
      <w:pgMar w:left="1134" w:right="1134" w:gutter="0" w:header="1134" w:top="1693" w:footer="1134" w:bottom="1693"/>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Linux Libertine G">
    <w:charset w:val="00"/>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bookmarkStart w:id="0" w:name="PageNumWizard_FOOTER_Default_Page_Style6"/>
    <w:r>
      <w:rPr/>
      <w:fldChar w:fldCharType="begin"/>
    </w:r>
    <w:r>
      <w:rPr/>
      <w:instrText xml:space="preserve"> PAGE </w:instrText>
    </w:r>
    <w:r>
      <w:rPr/>
      <w:fldChar w:fldCharType="separate"/>
    </w:r>
    <w:r>
      <w:rPr/>
      <w:t>7</w:t>
    </w:r>
    <w:r>
      <w:rPr/>
      <w:fldChar w:fldCharType="end"/>
    </w:r>
    <w:bookmarkEnd w:id="0"/>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center"/>
      <w:rPr/>
    </w:pPr>
    <w:r>
      <w:drawing>
        <wp:anchor distT="0" distB="0" distL="0" distR="0" simplePos="0" relativeHeight="2" behindDoc="0" locked="0" layoutInCell="0" allowOverlap="1">
          <wp:simplePos x="0" y="0"/>
          <wp:positionH relativeFrom="column">
            <wp:posOffset>-407670</wp:posOffset>
          </wp:positionH>
          <wp:positionV relativeFrom="paragraph">
            <wp:posOffset>-567690</wp:posOffset>
          </wp:positionV>
          <wp:extent cx="789940" cy="789940"/>
          <wp:effectExtent l="0" t="0" r="0" b="0"/>
          <wp:wrapSquare wrapText="largest"/>
          <wp:docPr id="1" name="Image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Copy 1 Copy 1"/>
                  <pic:cNvPicPr>
                    <a:picLocks noChangeAspect="1" noChangeArrowheads="1"/>
                  </pic:cNvPicPr>
                </pic:nvPicPr>
                <pic:blipFill>
                  <a:blip r:embed="rId1"/>
                  <a:stretch>
                    <a:fillRect/>
                  </a:stretch>
                </pic:blipFill>
                <pic:spPr bwMode="auto">
                  <a:xfrm>
                    <a:off x="0" y="0"/>
                    <a:ext cx="789940" cy="789940"/>
                  </a:xfrm>
                  <a:prstGeom prst="rect">
                    <a:avLst/>
                  </a:prstGeom>
                  <a:noFill/>
                </pic:spPr>
              </pic:pic>
            </a:graphicData>
          </a:graphic>
        </wp:anchor>
      </w:drawing>
    </w:r>
    <w:r>
      <w:rPr/>
      <w:t>CSET_SEND Policy_Version 1:0_Published July 2026</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2">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lvl w:ilvl="0">
      <w:start w:val="1"/>
      <w:numFmt w:val="none"/>
      <w:suff w:val="nothing"/>
      <w:lvlText w:val=""/>
      <w:lvlJc w:val="left"/>
      <w:pPr>
        <w:tabs>
          <w:tab w:val="num" w:pos="0"/>
        </w:tabs>
        <w:ind w:left="0" w:hanging="0"/>
      </w:pPr>
    </w:lvl>
    <w:lvl w:ilvl="1">
      <w:start w:val="1"/>
      <w:numFmt w:val="none"/>
      <w:pStyle w:val="Heading2"/>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75"/>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GB" w:eastAsia="zh-CN" w:bidi="hi-IN"/>
    </w:rPr>
  </w:style>
  <w:style w:type="paragraph" w:styleId="Heading2">
    <w:name w:val="heading 2"/>
    <w:basedOn w:val="Heading"/>
    <w:next w:val="BodyText"/>
    <w:qFormat/>
    <w:pPr>
      <w:spacing w:before="200" w:after="120"/>
      <w:outlineLvl w:val="1"/>
    </w:pPr>
    <w:rPr>
      <w:rFonts w:ascii="Liberation Serif" w:hAnsi="Liberation Serif" w:eastAsia="NSimSun" w:cs="Arial"/>
      <w:b/>
      <w:bCs/>
      <w:sz w:val="36"/>
      <w:szCs w:val="36"/>
    </w:rPr>
  </w:style>
  <w:style w:type="character" w:styleId="Strong">
    <w:name w:val="Strong"/>
    <w:qFormat/>
    <w:rPr>
      <w:b/>
      <w:bCs/>
    </w:rPr>
  </w:style>
  <w:style w:type="character" w:styleId="Bullets">
    <w:name w:val="Bullets"/>
    <w:qFormat/>
    <w:rPr>
      <w:rFonts w:ascii="OpenSymbol" w:hAnsi="OpenSymbol" w:eastAsia="OpenSymbol" w:cs="OpenSymbol"/>
    </w:rPr>
  </w:style>
  <w:style w:type="character" w:styleId="Emphasis">
    <w:name w:val="Emphasis"/>
    <w:qFormat/>
    <w:rPr>
      <w:i/>
      <w:iCs/>
    </w:rPr>
  </w:style>
  <w:style w:type="character" w:styleId="StrongEmphasis">
    <w:name w:val="Strong Emphasis"/>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21</TotalTime>
  <Application>LibreOffice/26.2.1.2$Windows_X86_64 LibreOffice_project/620$Build-2</Application>
  <AppVersion>15.0000</AppVersion>
  <Pages>7</Pages>
  <Words>1804</Words>
  <Characters>11362</Characters>
  <CharactersWithSpaces>13033</CharactersWithSpaces>
  <Paragraphs>136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2026-07-30T21:35:00Z</dcterms:created>
  <dc:creator/>
  <dc:description/>
  <dc:language>en-GB</dc:language>
  <cp:lastModifiedBy/>
  <dcterms:modified xsi:type="dcterms:W3CDTF">2026-07-30T23:40:55Z</dcterms:modified>
  <cp:revision>3</cp:revision>
  <dc:subject/>
  <dc:title/>
</cp:coreProperties>
</file>